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48" w:rsidRDefault="006B1E41">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lang w:val="en-US"/>
        </w:rPr>
        <w:drawing>
          <wp:anchor distT="0" distB="0" distL="114300" distR="114300" simplePos="0" relativeHeight="251658240" behindDoc="0" locked="0" layoutInCell="1" hidden="0" allowOverlap="1">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rsidR="00F47D48" w:rsidRPr="0073232D" w:rsidRDefault="0073232D">
      <w:pPr>
        <w:ind w:right="1067"/>
        <w:jc w:val="right"/>
        <w:rPr>
          <w:rFonts w:ascii="Tahoma" w:eastAsia="Tahoma" w:hAnsi="Tahoma" w:cs="Tahoma"/>
          <w:sz w:val="14"/>
          <w:szCs w:val="14"/>
          <w:lang w:val="en-US"/>
        </w:rPr>
      </w:pPr>
      <w:r>
        <w:rPr>
          <w:rFonts w:ascii="Tahoma" w:eastAsia="Tahoma" w:hAnsi="Tahoma" w:cs="Tahoma"/>
          <w:sz w:val="14"/>
          <w:szCs w:val="14"/>
        </w:rPr>
        <w:t>Vol. 1, No. 1, 2024</w:t>
      </w:r>
      <w:r w:rsidR="006B1E41">
        <w:rPr>
          <w:rFonts w:ascii="Tahoma" w:eastAsia="Tahoma" w:hAnsi="Tahoma" w:cs="Tahoma"/>
          <w:sz w:val="14"/>
          <w:szCs w:val="14"/>
        </w:rPr>
        <w:t xml:space="preserve">, pp. </w:t>
      </w:r>
      <w:r>
        <w:rPr>
          <w:rFonts w:ascii="Tahoma" w:eastAsia="Tahoma" w:hAnsi="Tahoma" w:cs="Tahoma"/>
          <w:sz w:val="14"/>
          <w:szCs w:val="14"/>
          <w:lang w:val="en-US"/>
        </w:rPr>
        <w:t>1</w:t>
      </w:r>
      <w:r w:rsidR="009C4E09">
        <w:rPr>
          <w:rFonts w:ascii="Tahoma" w:eastAsia="Tahoma" w:hAnsi="Tahoma" w:cs="Tahoma"/>
          <w:sz w:val="14"/>
          <w:szCs w:val="14"/>
          <w:lang w:val="en-US"/>
        </w:rPr>
        <w:t>0</w:t>
      </w:r>
      <w:r>
        <w:rPr>
          <w:rFonts w:ascii="Tahoma" w:eastAsia="Tahoma" w:hAnsi="Tahoma" w:cs="Tahoma"/>
          <w:sz w:val="14"/>
          <w:szCs w:val="14"/>
          <w:lang w:val="en-US"/>
        </w:rPr>
        <w:t xml:space="preserve"> </w:t>
      </w:r>
      <w:r w:rsidR="006B1E41">
        <w:rPr>
          <w:rFonts w:ascii="Tahoma" w:eastAsia="Tahoma" w:hAnsi="Tahoma" w:cs="Tahoma"/>
          <w:sz w:val="14"/>
          <w:szCs w:val="14"/>
        </w:rPr>
        <w:t>-</w:t>
      </w:r>
      <w:r w:rsidR="009C4E09">
        <w:rPr>
          <w:rFonts w:ascii="Tahoma" w:eastAsia="Tahoma" w:hAnsi="Tahoma" w:cs="Tahoma"/>
          <w:sz w:val="14"/>
          <w:szCs w:val="14"/>
          <w:lang w:val="en-US"/>
        </w:rPr>
        <w:t xml:space="preserve"> 18</w:t>
      </w:r>
      <w:bookmarkStart w:id="0" w:name="_GoBack"/>
      <w:bookmarkEnd w:id="0"/>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r>
        <w:rPr>
          <w:rFonts w:ascii="Tahoma" w:eastAsia="Tahoma" w:hAnsi="Tahoma" w:cs="Tahoma"/>
          <w:sz w:val="14"/>
          <w:szCs w:val="14"/>
        </w:rPr>
        <w:fldChar w:fldCharType="begin"/>
      </w:r>
      <w:r>
        <w:rPr>
          <w:rFonts w:ascii="Tahoma" w:eastAsia="Tahoma" w:hAnsi="Tahoma" w:cs="Tahoma"/>
          <w:sz w:val="14"/>
          <w:szCs w:val="14"/>
        </w:rPr>
        <w:instrText xml:space="preserve"> HYPERLINK "https://publikasiilmiah.unwahas.ac.id/index.php/IJMBS" \h </w:instrText>
      </w:r>
      <w:r>
        <w:rPr>
          <w:rFonts w:ascii="Tahoma" w:eastAsia="Tahoma" w:hAnsi="Tahoma" w:cs="Tahoma"/>
          <w:sz w:val="14"/>
          <w:szCs w:val="14"/>
        </w:rPr>
        <w:fldChar w:fldCharType="separate"/>
      </w:r>
      <w:r>
        <w:rPr>
          <w:rFonts w:ascii="Tahoma" w:eastAsia="Tahoma" w:hAnsi="Tahoma" w:cs="Tahoma"/>
          <w:sz w:val="14"/>
          <w:szCs w:val="14"/>
        </w:rPr>
        <w:t>2963-8410</w:t>
      </w:r>
      <w:r>
        <w:rPr>
          <w:rFonts w:ascii="Tahoma" w:eastAsia="Tahoma" w:hAnsi="Tahoma" w:cs="Tahoma"/>
          <w:sz w:val="14"/>
          <w:szCs w:val="14"/>
        </w:rPr>
        <w:fldChar w:fldCharType="end"/>
      </w:r>
      <w:r>
        <w:rPr>
          <w:rFonts w:ascii="Tahoma" w:eastAsia="Tahoma" w:hAnsi="Tahoma" w:cs="Tahoma"/>
          <w:sz w:val="14"/>
          <w:szCs w:val="14"/>
        </w:rPr>
        <w:t xml:space="preserve">) </w:t>
      </w:r>
    </w:p>
    <w:p w:rsidR="00F47D48" w:rsidRDefault="006B1E41">
      <w:pPr>
        <w:ind w:left="4067" w:right="1063" w:hanging="848"/>
        <w:jc w:val="right"/>
        <w:rPr>
          <w:rFonts w:ascii="Tahoma" w:eastAsia="Tahoma" w:hAnsi="Tahoma" w:cs="Tahoma"/>
          <w:sz w:val="14"/>
          <w:szCs w:val="14"/>
        </w:rPr>
      </w:pPr>
      <w:r>
        <w:rPr>
          <w:rFonts w:ascii="Tahoma" w:eastAsia="Tahoma" w:hAnsi="Tahoma" w:cs="Tahoma"/>
          <w:sz w:val="14"/>
          <w:szCs w:val="14"/>
        </w:rPr>
        <w:t>DOI: https://doi.org/</w:t>
      </w:r>
      <w:r>
        <w:rPr>
          <w:rFonts w:ascii="Tahoma" w:eastAsia="Tahoma" w:hAnsi="Tahoma" w:cs="Tahoma"/>
          <w:sz w:val="14"/>
          <w:szCs w:val="14"/>
        </w:rPr>
        <w:fldChar w:fldCharType="begin"/>
      </w:r>
      <w:r>
        <w:rPr>
          <w:rFonts w:ascii="Tahoma" w:eastAsia="Tahoma" w:hAnsi="Tahoma" w:cs="Tahoma"/>
          <w:sz w:val="14"/>
          <w:szCs w:val="14"/>
        </w:rPr>
        <w:instrText xml:space="preserve"> HYPERLINK "https://publikasiilmiah.unwahas.ac.id/index.php/IJMBS/" \h </w:instrText>
      </w:r>
      <w:r>
        <w:rPr>
          <w:rFonts w:ascii="Tahoma" w:eastAsia="Tahoma" w:hAnsi="Tahoma" w:cs="Tahoma"/>
          <w:sz w:val="14"/>
          <w:szCs w:val="14"/>
        </w:rPr>
        <w:fldChar w:fldCharType="separate"/>
      </w:r>
      <w:r>
        <w:rPr>
          <w:rFonts w:ascii="Tahoma" w:eastAsia="Tahoma" w:hAnsi="Tahoma" w:cs="Tahoma"/>
          <w:sz w:val="14"/>
          <w:szCs w:val="14"/>
        </w:rPr>
        <w:t>10.31942/ijmbs.v1i1.6791</w:t>
      </w:r>
      <w:r>
        <w:rPr>
          <w:rFonts w:ascii="Tahoma" w:eastAsia="Tahoma" w:hAnsi="Tahoma" w:cs="Tahoma"/>
          <w:sz w:val="14"/>
          <w:szCs w:val="14"/>
        </w:rPr>
        <w:fldChar w:fldCharType="end"/>
      </w:r>
    </w:p>
    <w:p w:rsidR="00F47D48" w:rsidRDefault="00F47D48">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F47D48">
        <w:trPr>
          <w:trHeight w:val="1780"/>
        </w:trPr>
        <w:tc>
          <w:tcPr>
            <w:tcW w:w="8865" w:type="dxa"/>
            <w:gridSpan w:val="2"/>
            <w:tcBorders>
              <w:top w:val="single" w:sz="12" w:space="0" w:color="000000"/>
              <w:bottom w:val="single" w:sz="12" w:space="0" w:color="000000"/>
            </w:tcBorders>
          </w:tcPr>
          <w:p w:rsidR="00F47D48" w:rsidRPr="00EB51CB" w:rsidRDefault="00B50E14">
            <w:pPr>
              <w:widowControl/>
              <w:rPr>
                <w:rFonts w:ascii="Arial" w:eastAsia="Arial" w:hAnsi="Arial" w:cs="Arial"/>
                <w:b/>
                <w:sz w:val="32"/>
                <w:szCs w:val="32"/>
                <w:lang w:val="en-US"/>
              </w:rPr>
            </w:pPr>
            <w:r w:rsidRPr="00B50E14">
              <w:rPr>
                <w:rFonts w:ascii="Arial" w:eastAsia="Arial" w:hAnsi="Arial" w:cs="Arial"/>
                <w:b/>
                <w:sz w:val="32"/>
                <w:szCs w:val="32"/>
              </w:rPr>
              <w:t>COMPARATIVE ANALYSIS OF BANKRUPTCY PREDICTION METHODS OF ALTMAN, SPRINGATE, AND ZMIJEWSKI</w:t>
            </w:r>
          </w:p>
          <w:p w:rsidR="00EB51CB" w:rsidRDefault="00EB51CB">
            <w:pPr>
              <w:widowControl/>
              <w:rPr>
                <w:rFonts w:ascii="Arial" w:eastAsia="Arial" w:hAnsi="Arial" w:cs="Arial"/>
                <w:b/>
                <w:sz w:val="24"/>
                <w:szCs w:val="24"/>
              </w:rPr>
            </w:pPr>
          </w:p>
          <w:p w:rsidR="00F47D48" w:rsidRDefault="00B50E14">
            <w:pPr>
              <w:widowControl/>
              <w:rPr>
                <w:rFonts w:ascii="Arial" w:eastAsia="Arial" w:hAnsi="Arial" w:cs="Arial"/>
                <w:b/>
                <w:sz w:val="24"/>
                <w:szCs w:val="24"/>
                <w:vertAlign w:val="superscript"/>
              </w:rPr>
            </w:pPr>
            <w:r>
              <w:rPr>
                <w:rFonts w:ascii="Arial" w:eastAsia="Arial" w:hAnsi="Arial" w:cs="Arial"/>
                <w:b/>
                <w:sz w:val="24"/>
                <w:szCs w:val="24"/>
                <w:lang w:val="en-US"/>
              </w:rPr>
              <w:t xml:space="preserve">Ahmad </w:t>
            </w:r>
            <w:proofErr w:type="spellStart"/>
            <w:r>
              <w:rPr>
                <w:rFonts w:ascii="Arial" w:eastAsia="Arial" w:hAnsi="Arial" w:cs="Arial"/>
                <w:b/>
                <w:sz w:val="24"/>
                <w:szCs w:val="24"/>
                <w:lang w:val="en-US"/>
              </w:rPr>
              <w:t>Faizin</w:t>
            </w:r>
            <w:proofErr w:type="spellEnd"/>
            <w:r w:rsidR="006B1E41">
              <w:rPr>
                <w:rFonts w:ascii="Arial" w:eastAsia="Arial" w:hAnsi="Arial" w:cs="Arial"/>
                <w:b/>
                <w:sz w:val="24"/>
                <w:szCs w:val="24"/>
                <w:vertAlign w:val="superscript"/>
              </w:rPr>
              <w:t>1</w:t>
            </w:r>
            <w:r w:rsidR="006B1E41">
              <w:rPr>
                <w:rFonts w:ascii="Arial" w:eastAsia="Arial" w:hAnsi="Arial" w:cs="Arial"/>
                <w:b/>
                <w:sz w:val="24"/>
                <w:szCs w:val="24"/>
              </w:rPr>
              <w:t xml:space="preserve">, </w:t>
            </w:r>
            <w:r w:rsidR="00EB51CB">
              <w:rPr>
                <w:rFonts w:ascii="Arial" w:eastAsia="Arial" w:hAnsi="Arial" w:cs="Arial"/>
                <w:b/>
                <w:sz w:val="24"/>
                <w:szCs w:val="24"/>
                <w:lang w:val="en-US"/>
              </w:rPr>
              <w:t xml:space="preserve">Muhammad </w:t>
            </w:r>
            <w:proofErr w:type="spellStart"/>
            <w:r>
              <w:rPr>
                <w:rFonts w:ascii="Arial" w:eastAsia="Arial" w:hAnsi="Arial" w:cs="Arial"/>
                <w:b/>
                <w:sz w:val="24"/>
                <w:szCs w:val="24"/>
                <w:lang w:val="en-US"/>
              </w:rPr>
              <w:t>Ulin</w:t>
            </w:r>
            <w:proofErr w:type="spellEnd"/>
            <w:r>
              <w:rPr>
                <w:rFonts w:ascii="Arial" w:eastAsia="Arial" w:hAnsi="Arial" w:cs="Arial"/>
                <w:b/>
                <w:sz w:val="24"/>
                <w:szCs w:val="24"/>
                <w:lang w:val="en-US"/>
              </w:rPr>
              <w:t xml:space="preserve"> </w:t>
            </w:r>
            <w:proofErr w:type="spellStart"/>
            <w:r>
              <w:rPr>
                <w:rFonts w:ascii="Arial" w:eastAsia="Arial" w:hAnsi="Arial" w:cs="Arial"/>
                <w:b/>
                <w:sz w:val="24"/>
                <w:szCs w:val="24"/>
                <w:lang w:val="en-US"/>
              </w:rPr>
              <w:t>Nuha</w:t>
            </w:r>
            <w:proofErr w:type="spellEnd"/>
            <w:r w:rsidR="00EB51CB">
              <w:rPr>
                <w:rFonts w:ascii="Arial" w:eastAsia="Arial" w:hAnsi="Arial" w:cs="Arial"/>
                <w:b/>
                <w:sz w:val="24"/>
                <w:szCs w:val="24"/>
                <w:vertAlign w:val="superscript"/>
              </w:rPr>
              <w:t>2</w:t>
            </w:r>
          </w:p>
          <w:p w:rsidR="00F47D48" w:rsidRDefault="00F47D48">
            <w:pPr>
              <w:pBdr>
                <w:top w:val="nil"/>
                <w:left w:val="nil"/>
                <w:bottom w:val="nil"/>
                <w:right w:val="nil"/>
                <w:between w:val="nil"/>
              </w:pBdr>
              <w:rPr>
                <w:rFonts w:ascii="Arial" w:eastAsia="Arial" w:hAnsi="Arial" w:cs="Arial"/>
                <w:color w:val="000000"/>
                <w:sz w:val="33"/>
                <w:szCs w:val="33"/>
              </w:rPr>
            </w:pPr>
          </w:p>
          <w:p w:rsidR="00F47D48" w:rsidRPr="00EB51CB" w:rsidRDefault="006B1E41">
            <w:pPr>
              <w:pBdr>
                <w:right w:val="single" w:sz="4" w:space="4" w:color="000000"/>
              </w:pBdr>
              <w:rPr>
                <w:rFonts w:ascii="Arial" w:eastAsia="Arial" w:hAnsi="Arial" w:cs="Arial"/>
                <w:sz w:val="18"/>
                <w:szCs w:val="18"/>
                <w:lang w:val="en-US"/>
              </w:rPr>
            </w:pPr>
            <w:r>
              <w:rPr>
                <w:rFonts w:ascii="Arial" w:eastAsia="Arial" w:hAnsi="Arial" w:cs="Arial"/>
                <w:sz w:val="18"/>
                <w:szCs w:val="18"/>
                <w:vertAlign w:val="superscript"/>
              </w:rPr>
              <w:t>1</w:t>
            </w:r>
            <w:r w:rsidR="00EB51CB">
              <w:rPr>
                <w:rFonts w:ascii="Arial" w:eastAsia="Arial" w:hAnsi="Arial" w:cs="Arial"/>
                <w:sz w:val="18"/>
                <w:szCs w:val="18"/>
                <w:lang w:val="en-US"/>
              </w:rPr>
              <w:t>Wahid Hasyim University</w:t>
            </w:r>
            <w:r>
              <w:rPr>
                <w:rFonts w:ascii="Arial" w:eastAsia="Arial" w:hAnsi="Arial" w:cs="Arial"/>
                <w:sz w:val="18"/>
                <w:szCs w:val="18"/>
              </w:rPr>
              <w:t xml:space="preserve">, </w:t>
            </w:r>
            <w:r>
              <w:rPr>
                <w:rFonts w:ascii="Arial" w:eastAsia="Arial" w:hAnsi="Arial" w:cs="Arial"/>
                <w:sz w:val="18"/>
                <w:szCs w:val="18"/>
                <w:vertAlign w:val="superscript"/>
              </w:rPr>
              <w:t>2</w:t>
            </w:r>
            <w:r w:rsidR="00EB51CB">
              <w:rPr>
                <w:rFonts w:ascii="Arial" w:eastAsia="Arial" w:hAnsi="Arial" w:cs="Arial"/>
                <w:sz w:val="18"/>
                <w:szCs w:val="18"/>
                <w:lang w:val="en-US"/>
              </w:rPr>
              <w:t>Wahid Hasyim University</w:t>
            </w:r>
          </w:p>
          <w:p w:rsidR="00F47D48" w:rsidRPr="00EB51CB" w:rsidRDefault="00EB51CB" w:rsidP="00B50E14">
            <w:pPr>
              <w:pBdr>
                <w:right w:val="single" w:sz="4" w:space="4" w:color="000000"/>
              </w:pBdr>
              <w:rPr>
                <w:rFonts w:ascii="Arial" w:eastAsia="Arial" w:hAnsi="Arial" w:cs="Arial"/>
                <w:sz w:val="18"/>
                <w:szCs w:val="18"/>
                <w:lang w:val="en-US"/>
              </w:rPr>
            </w:pPr>
            <w:r>
              <w:rPr>
                <w:rFonts w:ascii="Arial" w:eastAsia="Arial" w:hAnsi="Arial" w:cs="Arial"/>
                <w:sz w:val="18"/>
                <w:szCs w:val="18"/>
              </w:rPr>
              <w:t>e</w:t>
            </w:r>
            <w:r w:rsidR="006B1E41">
              <w:rPr>
                <w:rFonts w:ascii="Arial" w:eastAsia="Arial" w:hAnsi="Arial" w:cs="Arial"/>
                <w:sz w:val="18"/>
                <w:szCs w:val="18"/>
              </w:rPr>
              <w:t>mai</w:t>
            </w:r>
            <w:r>
              <w:rPr>
                <w:rFonts w:ascii="Arial" w:eastAsia="Arial" w:hAnsi="Arial" w:cs="Arial"/>
                <w:sz w:val="18"/>
                <w:szCs w:val="18"/>
                <w:lang w:val="en-US"/>
              </w:rPr>
              <w:t>l</w:t>
            </w:r>
            <w:r w:rsidR="006B1E41">
              <w:rPr>
                <w:rFonts w:ascii="Arial" w:eastAsia="Arial" w:hAnsi="Arial" w:cs="Arial"/>
                <w:sz w:val="18"/>
                <w:szCs w:val="18"/>
              </w:rPr>
              <w:t xml:space="preserve"> </w:t>
            </w:r>
            <w:hyperlink r:id="rId11" w:history="1">
              <w:r w:rsidR="00B50E14" w:rsidRPr="00515FDA">
                <w:rPr>
                  <w:rStyle w:val="Hyperlink"/>
                  <w:rFonts w:ascii="Arial" w:eastAsia="Arial" w:hAnsi="Arial" w:cs="Arial"/>
                  <w:sz w:val="18"/>
                  <w:szCs w:val="18"/>
                  <w:lang w:val="en-US"/>
                </w:rPr>
                <w:t>faizinoi491@gmail.com</w:t>
              </w:r>
            </w:hyperlink>
            <w:r>
              <w:rPr>
                <w:rFonts w:ascii="Arial" w:eastAsia="Arial" w:hAnsi="Arial" w:cs="Arial"/>
                <w:sz w:val="18"/>
                <w:szCs w:val="18"/>
                <w:lang w:val="en-US"/>
              </w:rPr>
              <w:t xml:space="preserve"> </w:t>
            </w:r>
            <w:r w:rsidR="006B1E41">
              <w:rPr>
                <w:rFonts w:ascii="Arial" w:eastAsia="Arial" w:hAnsi="Arial" w:cs="Arial"/>
                <w:sz w:val="18"/>
                <w:szCs w:val="18"/>
              </w:rPr>
              <w:t xml:space="preserve">  </w:t>
            </w:r>
            <w:r>
              <w:rPr>
                <w:rFonts w:ascii="Arial" w:eastAsia="Arial" w:hAnsi="Arial" w:cs="Arial"/>
                <w:sz w:val="18"/>
                <w:szCs w:val="18"/>
              </w:rPr>
              <w:t>e</w:t>
            </w:r>
            <w:r w:rsidR="006B1E41">
              <w:rPr>
                <w:rFonts w:ascii="Arial" w:eastAsia="Arial" w:hAnsi="Arial" w:cs="Arial"/>
                <w:sz w:val="18"/>
                <w:szCs w:val="18"/>
              </w:rPr>
              <w:t xml:space="preserve">mail </w:t>
            </w:r>
            <w:hyperlink r:id="rId12" w:history="1">
              <w:r w:rsidR="00B50E14" w:rsidRPr="00515FDA">
                <w:rPr>
                  <w:rStyle w:val="Hyperlink"/>
                  <w:rFonts w:ascii="Arial" w:eastAsia="Arial" w:hAnsi="Arial" w:cs="Arial"/>
                  <w:sz w:val="18"/>
                  <w:szCs w:val="18"/>
                  <w:lang w:val="en-US"/>
                </w:rPr>
                <w:t>m.ulinnuha@unwahas.ac.id</w:t>
              </w:r>
            </w:hyperlink>
            <w:r>
              <w:rPr>
                <w:rFonts w:ascii="Arial" w:eastAsia="Arial" w:hAnsi="Arial" w:cs="Arial"/>
                <w:sz w:val="18"/>
                <w:szCs w:val="18"/>
                <w:lang w:val="en-US"/>
              </w:rPr>
              <w:t xml:space="preserve"> </w:t>
            </w:r>
            <w:r w:rsidR="00B50E14">
              <w:rPr>
                <w:rFonts w:ascii="Arial" w:eastAsia="Arial" w:hAnsi="Arial" w:cs="Arial"/>
                <w:sz w:val="18"/>
                <w:szCs w:val="18"/>
                <w:lang w:val="en-US"/>
              </w:rPr>
              <w:t xml:space="preserve"> </w:t>
            </w:r>
          </w:p>
        </w:tc>
      </w:tr>
      <w:tr w:rsidR="00F47D48">
        <w:trPr>
          <w:trHeight w:val="3734"/>
        </w:trPr>
        <w:tc>
          <w:tcPr>
            <w:tcW w:w="2203" w:type="dxa"/>
            <w:tcBorders>
              <w:top w:val="single" w:sz="12" w:space="0" w:color="000000"/>
              <w:bottom w:val="single" w:sz="12" w:space="0" w:color="000000"/>
            </w:tcBorders>
          </w:tcPr>
          <w:p w:rsidR="00F47D48" w:rsidRDefault="00F47D48">
            <w:pPr>
              <w:pBdr>
                <w:top w:val="nil"/>
                <w:left w:val="nil"/>
                <w:bottom w:val="nil"/>
                <w:right w:val="nil"/>
                <w:between w:val="nil"/>
              </w:pBdr>
              <w:spacing w:before="33"/>
              <w:ind w:left="108"/>
              <w:rPr>
                <w:rFonts w:ascii="Tahoma" w:eastAsia="Tahoma" w:hAnsi="Tahoma" w:cs="Tahoma"/>
                <w:b/>
                <w:color w:val="000000"/>
                <w:sz w:val="18"/>
                <w:szCs w:val="18"/>
              </w:rPr>
            </w:pPr>
          </w:p>
          <w:p w:rsidR="00F47D48" w:rsidRDefault="00F47D48">
            <w:pPr>
              <w:pBdr>
                <w:top w:val="nil"/>
                <w:left w:val="nil"/>
                <w:bottom w:val="nil"/>
                <w:right w:val="nil"/>
                <w:between w:val="nil"/>
              </w:pBdr>
              <w:spacing w:before="33"/>
              <w:ind w:left="108"/>
              <w:rPr>
                <w:rFonts w:ascii="Tahoma" w:eastAsia="Tahoma" w:hAnsi="Tahoma" w:cs="Tahoma"/>
                <w:b/>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F47D48">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B50E14" w:rsidRDefault="00B50E14">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EB51CB" w:rsidRDefault="00EB51CB">
            <w:pPr>
              <w:pBdr>
                <w:top w:val="nil"/>
                <w:left w:val="nil"/>
                <w:bottom w:val="nil"/>
                <w:right w:val="nil"/>
                <w:between w:val="nil"/>
              </w:pBdr>
              <w:spacing w:before="33"/>
              <w:ind w:left="108"/>
              <w:rPr>
                <w:rFonts w:ascii="Arial MT" w:eastAsia="Arial MT" w:hAnsi="Arial MT" w:cs="Arial MT"/>
                <w:color w:val="000000"/>
                <w:sz w:val="18"/>
                <w:szCs w:val="18"/>
              </w:rPr>
            </w:pPr>
          </w:p>
          <w:p w:rsidR="00F47D48" w:rsidRDefault="006B1E41">
            <w:pPr>
              <w:pBdr>
                <w:top w:val="nil"/>
                <w:left w:val="nil"/>
                <w:bottom w:val="nil"/>
                <w:right w:val="nil"/>
                <w:between w:val="nil"/>
              </w:pBdr>
              <w:spacing w:before="33"/>
              <w:ind w:left="108"/>
              <w:rPr>
                <w:rFonts w:ascii="Arial" w:eastAsia="Arial" w:hAnsi="Arial" w:cs="Arial"/>
                <w:color w:val="000000"/>
                <w:sz w:val="24"/>
                <w:szCs w:val="24"/>
              </w:rPr>
            </w:pPr>
            <w:r>
              <w:rPr>
                <w:rFonts w:ascii="Arial" w:eastAsia="Arial" w:hAnsi="Arial" w:cs="Arial"/>
                <w:color w:val="000000"/>
                <w:sz w:val="24"/>
                <w:szCs w:val="24"/>
              </w:rPr>
              <w:t>Key word :</w:t>
            </w:r>
          </w:p>
          <w:p w:rsidR="00F47D48" w:rsidRDefault="00B50E14" w:rsidP="00B50E14">
            <w:pPr>
              <w:pBdr>
                <w:top w:val="nil"/>
                <w:left w:val="nil"/>
                <w:bottom w:val="nil"/>
                <w:right w:val="nil"/>
                <w:between w:val="nil"/>
              </w:pBdr>
              <w:spacing w:before="33"/>
              <w:ind w:left="108"/>
              <w:rPr>
                <w:rFonts w:ascii="Tahoma" w:eastAsia="Tahoma" w:hAnsi="Tahoma" w:cs="Tahoma"/>
                <w:b/>
                <w:color w:val="000000"/>
                <w:sz w:val="18"/>
                <w:szCs w:val="18"/>
              </w:rPr>
            </w:pPr>
            <w:r>
              <w:rPr>
                <w:rFonts w:ascii="Arial" w:eastAsia="Arial" w:hAnsi="Arial" w:cs="Arial"/>
                <w:i/>
                <w:color w:val="000000"/>
                <w:sz w:val="24"/>
                <w:szCs w:val="24"/>
              </w:rPr>
              <w:t xml:space="preserve">Altman; Springate; </w:t>
            </w:r>
            <w:r w:rsidRPr="00B50E14">
              <w:rPr>
                <w:rFonts w:ascii="Arial" w:eastAsia="Arial" w:hAnsi="Arial" w:cs="Arial"/>
                <w:i/>
                <w:color w:val="000000"/>
                <w:sz w:val="24"/>
                <w:szCs w:val="24"/>
              </w:rPr>
              <w:t>Zmijewski</w:t>
            </w:r>
            <w:r>
              <w:rPr>
                <w:rFonts w:ascii="Arial" w:eastAsia="Arial" w:hAnsi="Arial" w:cs="Arial"/>
                <w:i/>
                <w:color w:val="000000"/>
                <w:sz w:val="24"/>
                <w:szCs w:val="24"/>
                <w:lang w:val="en-US"/>
              </w:rPr>
              <w:t>;</w:t>
            </w:r>
            <w:r w:rsidRPr="00B50E14">
              <w:rPr>
                <w:rFonts w:ascii="Arial" w:eastAsia="Arial" w:hAnsi="Arial" w:cs="Arial"/>
                <w:i/>
                <w:color w:val="000000"/>
                <w:sz w:val="24"/>
                <w:szCs w:val="24"/>
              </w:rPr>
              <w:t xml:space="preserve"> Bankruptcy </w:t>
            </w:r>
          </w:p>
        </w:tc>
        <w:tc>
          <w:tcPr>
            <w:tcW w:w="6662" w:type="dxa"/>
            <w:tcBorders>
              <w:top w:val="single" w:sz="12" w:space="0" w:color="000000"/>
              <w:bottom w:val="single" w:sz="12" w:space="0" w:color="000000"/>
            </w:tcBorders>
          </w:tcPr>
          <w:p w:rsidR="00F47D48" w:rsidRDefault="006B1E41">
            <w:pPr>
              <w:pBdr>
                <w:top w:val="nil"/>
                <w:left w:val="nil"/>
                <w:bottom w:val="nil"/>
                <w:right w:val="nil"/>
                <w:between w:val="nil"/>
              </w:pBdr>
              <w:ind w:left="546" w:right="109"/>
              <w:jc w:val="both"/>
              <w:rPr>
                <w:rFonts w:ascii="Arial" w:eastAsia="Arial" w:hAnsi="Arial" w:cs="Arial"/>
                <w:b/>
                <w:color w:val="000000"/>
                <w:sz w:val="24"/>
                <w:szCs w:val="24"/>
              </w:rPr>
            </w:pPr>
            <w:r>
              <w:rPr>
                <w:rFonts w:ascii="Arial" w:eastAsia="Arial" w:hAnsi="Arial" w:cs="Arial"/>
                <w:b/>
                <w:color w:val="000000"/>
                <w:sz w:val="24"/>
                <w:szCs w:val="24"/>
              </w:rPr>
              <w:t>Abstract</w:t>
            </w:r>
          </w:p>
          <w:p w:rsidR="00F47D48" w:rsidRDefault="00F47D48">
            <w:pPr>
              <w:pBdr>
                <w:top w:val="nil"/>
                <w:left w:val="nil"/>
                <w:bottom w:val="nil"/>
                <w:right w:val="nil"/>
                <w:between w:val="nil"/>
              </w:pBdr>
              <w:ind w:left="546" w:right="109"/>
              <w:jc w:val="both"/>
              <w:rPr>
                <w:rFonts w:ascii="Arial" w:eastAsia="Arial" w:hAnsi="Arial" w:cs="Arial"/>
                <w:color w:val="000000"/>
                <w:sz w:val="24"/>
                <w:szCs w:val="24"/>
              </w:rPr>
            </w:pPr>
          </w:p>
          <w:p w:rsidR="00F47D48" w:rsidRDefault="00B50E14">
            <w:pPr>
              <w:pBdr>
                <w:top w:val="nil"/>
                <w:left w:val="nil"/>
                <w:bottom w:val="nil"/>
                <w:right w:val="nil"/>
                <w:between w:val="nil"/>
              </w:pBdr>
              <w:ind w:left="546" w:right="109"/>
              <w:jc w:val="both"/>
              <w:rPr>
                <w:rFonts w:ascii="Arial MT" w:eastAsia="Arial MT" w:hAnsi="Arial MT" w:cs="Arial MT"/>
                <w:color w:val="000000"/>
                <w:sz w:val="20"/>
                <w:szCs w:val="20"/>
              </w:rPr>
            </w:pPr>
            <w:r w:rsidRPr="00B50E14">
              <w:rPr>
                <w:rFonts w:ascii="Arial" w:eastAsia="Arial" w:hAnsi="Arial" w:cs="Arial"/>
                <w:color w:val="000000"/>
                <w:sz w:val="24"/>
                <w:szCs w:val="24"/>
              </w:rPr>
              <w:t>This study aims to determine the results of the bankruptcy prediction calculation score, to find out whether there are differences in bankruptcy prediction and to find out which bankruptcy prediction model is the most accurate in predicting bankruptcy altman, springate and zmijewski methods. This type of research uses quantitative research with a comparative approach. This study uses the population of real estate and property companies listed on the IDX in 2019-2021 on the www.idx.com website. Sampling was carried out by purposive sampling so that a sample of 80 companies was obtained. Data analysis techniques in this study used the Normality Test and the Kruskall Wallis Test using SPSS 26 and the Accuracy Level Test. The results of the Kruskal Wallis Test illustrate that there is a significant difference between the three methods used with significant values of 0.005 or &lt; 0.05. The results of this study revealed that the Zmijewski Model is the most accurate bankruptcy prediction model in predicting the bankruptcy of real estate and property companies with a total accuracy rate of 86.67% and an error rate of 13.33%.</w:t>
            </w:r>
          </w:p>
        </w:tc>
      </w:tr>
    </w:tbl>
    <w:p w:rsidR="00F47D48" w:rsidRDefault="00F47D48">
      <w:pPr>
        <w:rPr>
          <w:sz w:val="25"/>
          <w:szCs w:val="25"/>
        </w:rPr>
        <w:sectPr w:rsidR="00F47D48" w:rsidSect="009C4E09">
          <w:footerReference w:type="default" r:id="rId13"/>
          <w:pgSz w:w="11900" w:h="16850"/>
          <w:pgMar w:top="300" w:right="1340" w:bottom="280" w:left="1360" w:header="720" w:footer="720" w:gutter="0"/>
          <w:pgNumType w:start="10"/>
          <w:cols w:space="720"/>
        </w:sectPr>
      </w:pPr>
    </w:p>
    <w:p w:rsidR="00F47D48" w:rsidRDefault="006B1E41">
      <w:pPr>
        <w:widowControl/>
        <w:ind w:left="426"/>
        <w:rPr>
          <w:rFonts w:ascii="Arial" w:eastAsia="Arial" w:hAnsi="Arial" w:cs="Arial"/>
          <w:b/>
          <w:sz w:val="24"/>
          <w:szCs w:val="24"/>
        </w:rPr>
      </w:pPr>
      <w:r>
        <w:rPr>
          <w:rFonts w:ascii="Arial" w:eastAsia="Arial" w:hAnsi="Arial" w:cs="Arial"/>
          <w:b/>
          <w:sz w:val="24"/>
          <w:szCs w:val="24"/>
        </w:rPr>
        <w:lastRenderedPageBreak/>
        <w:t>INTRODUCTION</w:t>
      </w:r>
    </w:p>
    <w:p w:rsidR="00B50E14" w:rsidRPr="00B50E14" w:rsidRDefault="00B50E14" w:rsidP="00B50E14">
      <w:pPr>
        <w:widowControl/>
        <w:ind w:left="426" w:firstLine="567"/>
        <w:jc w:val="both"/>
        <w:rPr>
          <w:rFonts w:ascii="Arial" w:eastAsia="Arial" w:hAnsi="Arial" w:cs="Arial"/>
          <w:sz w:val="24"/>
          <w:szCs w:val="24"/>
        </w:rPr>
      </w:pPr>
      <w:r w:rsidRPr="00B50E14">
        <w:rPr>
          <w:rFonts w:ascii="Arial" w:eastAsia="Arial" w:hAnsi="Arial" w:cs="Arial"/>
          <w:sz w:val="24"/>
          <w:szCs w:val="24"/>
        </w:rPr>
        <w:t xml:space="preserve">Real estate and property companies are companies that have an important role. Engaged in the development and economy of a country, such as housing, apartments, offices, bridges and others. This sector is considered important because it is one of the potential sources of state revenue because it has the ability to attract and move economic activity, affect the development of the financial sector and its impact on economic growth and employment (www.fiskal.kemenkeu.go.id). This shows that the increasing number of companies in the real estate and property sector indicates the growing economy of Indonesia(Milleniasari, 2022).  </w:t>
      </w:r>
    </w:p>
    <w:p w:rsidR="00B50E14" w:rsidRPr="00B50E14" w:rsidRDefault="00B50E14" w:rsidP="00B50E14">
      <w:pPr>
        <w:widowControl/>
        <w:ind w:left="426" w:firstLine="567"/>
        <w:jc w:val="both"/>
        <w:rPr>
          <w:rFonts w:ascii="Arial" w:eastAsia="Arial" w:hAnsi="Arial" w:cs="Arial"/>
          <w:sz w:val="24"/>
          <w:szCs w:val="24"/>
        </w:rPr>
      </w:pPr>
      <w:r w:rsidRPr="00B50E14">
        <w:rPr>
          <w:rFonts w:ascii="Arial" w:eastAsia="Arial" w:hAnsi="Arial" w:cs="Arial"/>
          <w:sz w:val="24"/>
          <w:szCs w:val="24"/>
        </w:rPr>
        <w:tab/>
        <w:t xml:space="preserve">Market optimism was disrupted, along with the outbreak of the new delta variant in the middle of the year, this certainly dealt a big blow in various sectors, especially the property and real estate sectors(Ramadanty &amp; Khomsiyah, 2022). As a result, almost all countries experienced economic stagnation so that many companies experienced a decline in financial performance (Ulin Nuha &amp; Purnomo, 2021) accompanied by declining retail sales due to uncertainty over the Covid-19 pandemic and recession could accelerate the decline in the property sector (Colliiers, 2020) . </w:t>
      </w:r>
    </w:p>
    <w:p w:rsidR="00B50E14" w:rsidRPr="00B50E14" w:rsidRDefault="00B50E14" w:rsidP="00B50E14">
      <w:pPr>
        <w:widowControl/>
        <w:ind w:left="426" w:firstLine="567"/>
        <w:jc w:val="both"/>
        <w:rPr>
          <w:rFonts w:ascii="Arial" w:eastAsia="Arial" w:hAnsi="Arial" w:cs="Arial"/>
          <w:sz w:val="24"/>
          <w:szCs w:val="24"/>
        </w:rPr>
      </w:pPr>
      <w:r w:rsidRPr="00B50E14">
        <w:rPr>
          <w:rFonts w:ascii="Arial" w:eastAsia="Arial" w:hAnsi="Arial" w:cs="Arial"/>
          <w:sz w:val="24"/>
          <w:szCs w:val="24"/>
        </w:rPr>
        <w:t>The relationship between bankruptcy and signal theory is about bankruptcy prediction analysis (Tuvadaratragool, 2013). The results of bankruptcy predictions show that the analyzed company does not have the possibility of bankruptcy, so the company will receive positive signals useful to interested parties (Endang, 2019) . However, if the bankruptcy prediction output shows that the analyzed company has a possibility of bankruptcy then the related company receives negative signals that can harm interested parties (R. Sari et al., 2022). Analysis of bankruptcy prediction models using the Altman, Springate and Zmijewski models is expected to provide a signal to companies when company performance declines (Prakoso et al., 2022) so that in decision making.</w:t>
      </w:r>
    </w:p>
    <w:p w:rsidR="00A01A28" w:rsidRPr="00256220" w:rsidRDefault="00B50E14" w:rsidP="00B50E14">
      <w:pPr>
        <w:widowControl/>
        <w:ind w:left="426" w:firstLine="567"/>
        <w:jc w:val="both"/>
        <w:rPr>
          <w:rFonts w:ascii="Arial" w:eastAsia="Arial" w:hAnsi="Arial" w:cs="Arial"/>
          <w:noProof/>
          <w:sz w:val="24"/>
          <w:szCs w:val="24"/>
          <w:lang w:val="en-US"/>
        </w:rPr>
      </w:pPr>
      <w:r w:rsidRPr="00B50E14">
        <w:rPr>
          <w:rFonts w:ascii="Arial" w:eastAsia="Arial" w:hAnsi="Arial" w:cs="Arial"/>
          <w:sz w:val="24"/>
          <w:szCs w:val="24"/>
        </w:rPr>
        <w:t>By conducting an analysis of potential bankruptcy. on the company. real estate. and property. that. Registered. On the Indonesia Stock Exchange, the company can then make decisions to prepare and improve in the future and have bright prospects in the future. Therefore, based on the description above, researchers are interested in conducting research. with the title "Comparative Analysis of Bankruptcy Prediction Method Altman, Springate, and Zmijewsky (Empirical Study on Real Estate and Property Companies Listed on the Indonesia Stock Exchange for the Period 2019 to 2021).</w:t>
      </w:r>
    </w:p>
    <w:p w:rsidR="00F47D48" w:rsidRDefault="00F47D48">
      <w:pPr>
        <w:keepNext/>
        <w:keepLines/>
        <w:widowControl/>
        <w:ind w:left="426"/>
        <w:jc w:val="both"/>
        <w:rPr>
          <w:rFonts w:ascii="Arial" w:eastAsia="Arial" w:hAnsi="Arial" w:cs="Arial"/>
          <w:b/>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rsidR="00B50E14" w:rsidRPr="00B50E14" w:rsidRDefault="00F721C6" w:rsidP="00F721C6">
      <w:pPr>
        <w:keepNext/>
        <w:keepLines/>
        <w:widowControl/>
        <w:ind w:left="426" w:firstLine="564"/>
        <w:jc w:val="both"/>
        <w:rPr>
          <w:rFonts w:ascii="Arial" w:eastAsia="Arial" w:hAnsi="Arial" w:cs="Arial"/>
          <w:sz w:val="24"/>
          <w:szCs w:val="24"/>
          <w:lang w:val="en-US"/>
        </w:rPr>
      </w:pPr>
      <w:r w:rsidRPr="00F721C6">
        <w:rPr>
          <w:rFonts w:ascii="Arial" w:eastAsia="Arial" w:hAnsi="Arial" w:cs="Arial"/>
          <w:sz w:val="24"/>
          <w:szCs w:val="24"/>
          <w:lang w:val="en-US"/>
        </w:rPr>
        <w:t>Financial statements are very crucial statistics for every company .which contains news in a structured manner related to the financial position used in explaining company performance (IAI, 2015) This is in line with opinion (</w:t>
      </w:r>
      <w:proofErr w:type="spellStart"/>
      <w:r w:rsidRPr="00F721C6">
        <w:rPr>
          <w:rFonts w:ascii="Arial" w:eastAsia="Arial" w:hAnsi="Arial" w:cs="Arial"/>
          <w:sz w:val="24"/>
          <w:szCs w:val="24"/>
          <w:lang w:val="en-US"/>
        </w:rPr>
        <w:t>Kasmir</w:t>
      </w:r>
      <w:proofErr w:type="spellEnd"/>
      <w:r w:rsidRPr="00F721C6">
        <w:rPr>
          <w:rFonts w:ascii="Arial" w:eastAsia="Arial" w:hAnsi="Arial" w:cs="Arial"/>
          <w:sz w:val="24"/>
          <w:szCs w:val="24"/>
          <w:lang w:val="en-US"/>
        </w:rPr>
        <w:t>, 2014) Disclose financial statements show. Financial situation. Company now or a certain time (balance sheet) as well as a certain period (for the income statement). Therefore, in decision making every business requires a financial statement (</w:t>
      </w:r>
      <w:proofErr w:type="spellStart"/>
      <w:r w:rsidRPr="00F721C6">
        <w:rPr>
          <w:rFonts w:ascii="Arial" w:eastAsia="Arial" w:hAnsi="Arial" w:cs="Arial"/>
          <w:sz w:val="24"/>
          <w:szCs w:val="24"/>
          <w:lang w:val="en-US"/>
        </w:rPr>
        <w:t>Banjarnahor</w:t>
      </w:r>
      <w:proofErr w:type="spellEnd"/>
      <w:r w:rsidRPr="00F721C6">
        <w:rPr>
          <w:rFonts w:ascii="Arial" w:eastAsia="Arial" w:hAnsi="Arial" w:cs="Arial"/>
          <w:sz w:val="24"/>
          <w:szCs w:val="24"/>
          <w:lang w:val="en-US"/>
        </w:rPr>
        <w:t xml:space="preserve"> &amp; Devi, 2018)</w:t>
      </w:r>
    </w:p>
    <w:p w:rsidR="00F15402" w:rsidRPr="00F15402" w:rsidRDefault="00F721C6">
      <w:pPr>
        <w:keepNext/>
        <w:keepLines/>
        <w:widowControl/>
        <w:ind w:left="426"/>
        <w:jc w:val="both"/>
        <w:rPr>
          <w:rFonts w:ascii="Arial" w:eastAsia="Arial" w:hAnsi="Arial" w:cs="Arial"/>
          <w:b/>
          <w:sz w:val="24"/>
          <w:szCs w:val="24"/>
          <w:lang w:val="en-US"/>
        </w:rPr>
      </w:pPr>
      <w:r>
        <w:rPr>
          <w:rFonts w:ascii="Arial" w:eastAsia="Arial" w:hAnsi="Arial" w:cs="Arial"/>
          <w:b/>
          <w:sz w:val="24"/>
          <w:szCs w:val="24"/>
          <w:lang w:val="en-US"/>
        </w:rPr>
        <w:t>Bankruptcy</w:t>
      </w:r>
    </w:p>
    <w:p w:rsidR="00F15402" w:rsidRDefault="00F721C6">
      <w:pPr>
        <w:widowControl/>
        <w:ind w:left="426" w:firstLine="567"/>
        <w:jc w:val="both"/>
        <w:rPr>
          <w:rFonts w:ascii="Arial" w:eastAsia="Arial" w:hAnsi="Arial" w:cs="Arial"/>
          <w:sz w:val="24"/>
          <w:szCs w:val="24"/>
        </w:rPr>
      </w:pPr>
      <w:r w:rsidRPr="00F721C6">
        <w:rPr>
          <w:rFonts w:ascii="Arial" w:eastAsia="Arial" w:hAnsi="Arial" w:cs="Arial"/>
          <w:sz w:val="24"/>
          <w:szCs w:val="24"/>
        </w:rPr>
        <w:t xml:space="preserve">Menurut Rudianto dalam Anon n.d.-b (2022) Financial bankruptcy The company is defined as the insufficiency of the company in paying financial liquidity on time, thus causing the company's debt problems and becoming a risk of bankruptcy.  A company is considered bankrupt where the condition of the company is bankrupt or inadequate to fulfill its obligations because the company faces a shortage and insufficient funds to operate or continue its activities to achieve economic goals that the company wants to achieve but cannot achieve. The </w:t>
      </w:r>
      <w:r w:rsidRPr="00F721C6">
        <w:rPr>
          <w:rFonts w:ascii="Arial" w:eastAsia="Arial" w:hAnsi="Arial" w:cs="Arial"/>
          <w:sz w:val="24"/>
          <w:szCs w:val="24"/>
        </w:rPr>
        <w:lastRenderedPageBreak/>
        <w:t>company's ongoing financial problems will jeopardize the company's long-term position.</w:t>
      </w:r>
    </w:p>
    <w:p w:rsidR="00F721C6" w:rsidRPr="00F721C6" w:rsidRDefault="00F721C6" w:rsidP="00F721C6">
      <w:pPr>
        <w:keepNext/>
        <w:keepLines/>
        <w:widowControl/>
        <w:ind w:left="426"/>
        <w:jc w:val="both"/>
        <w:rPr>
          <w:rFonts w:ascii="Arial" w:eastAsia="Arial" w:hAnsi="Arial" w:cs="Arial"/>
          <w:b/>
          <w:sz w:val="24"/>
          <w:szCs w:val="24"/>
          <w:lang w:val="en-US"/>
        </w:rPr>
      </w:pPr>
      <w:r w:rsidRPr="00F721C6">
        <w:rPr>
          <w:rFonts w:ascii="Arial" w:eastAsia="Arial" w:hAnsi="Arial" w:cs="Arial"/>
          <w:b/>
          <w:sz w:val="24"/>
          <w:szCs w:val="24"/>
          <w:lang w:val="en-US"/>
        </w:rPr>
        <w:t>Bankruptcy Prediction Model</w:t>
      </w:r>
    </w:p>
    <w:p w:rsidR="006B1E41" w:rsidRPr="00F15402" w:rsidRDefault="00F721C6" w:rsidP="00F721C6">
      <w:pPr>
        <w:keepNext/>
        <w:keepLines/>
        <w:widowControl/>
        <w:ind w:left="426"/>
        <w:jc w:val="both"/>
        <w:rPr>
          <w:rFonts w:ascii="Arial" w:eastAsia="Arial" w:hAnsi="Arial" w:cs="Arial"/>
          <w:b/>
          <w:sz w:val="24"/>
          <w:szCs w:val="24"/>
          <w:lang w:val="en-US"/>
        </w:rPr>
      </w:pPr>
      <w:r w:rsidRPr="00F721C6">
        <w:rPr>
          <w:rFonts w:ascii="Arial" w:eastAsia="Arial" w:hAnsi="Arial" w:cs="Arial"/>
          <w:b/>
          <w:sz w:val="24"/>
          <w:szCs w:val="24"/>
          <w:lang w:val="en-US"/>
        </w:rPr>
        <w:t>Altman (Z-Score)</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A finance professor named Edward Altman at one of the US universities, developed the Altman Z-Score procedure published in the period 1968(</w:t>
      </w:r>
      <w:proofErr w:type="spellStart"/>
      <w:r w:rsidRPr="00F721C6">
        <w:rPr>
          <w:rFonts w:ascii="Arial" w:eastAsia="Arial" w:hAnsi="Arial" w:cs="Arial"/>
          <w:sz w:val="24"/>
          <w:szCs w:val="24"/>
          <w:lang w:val="en-US"/>
        </w:rPr>
        <w:t>Bacia</w:t>
      </w:r>
      <w:proofErr w:type="spellEnd"/>
      <w:r w:rsidRPr="00F721C6">
        <w:rPr>
          <w:rFonts w:ascii="Arial" w:eastAsia="Arial" w:hAnsi="Arial" w:cs="Arial"/>
          <w:sz w:val="24"/>
          <w:szCs w:val="24"/>
          <w:lang w:val="en-US"/>
        </w:rPr>
        <w:t xml:space="preserve"> et al., 2021). The Altman Z-score method can be used to predict bankruptcy and see the company's financial situation in the future using financial matrices, namely to facilitate decision making related to the prediction of bankruptcy of a company(</w:t>
      </w:r>
      <w:proofErr w:type="spellStart"/>
      <w:r w:rsidRPr="00F721C6">
        <w:rPr>
          <w:rFonts w:ascii="Arial" w:eastAsia="Arial" w:hAnsi="Arial" w:cs="Arial"/>
          <w:sz w:val="24"/>
          <w:szCs w:val="24"/>
          <w:lang w:val="en-US"/>
        </w:rPr>
        <w:t>Pangkey</w:t>
      </w:r>
      <w:proofErr w:type="spellEnd"/>
      <w:r w:rsidRPr="00F721C6">
        <w:rPr>
          <w:rFonts w:ascii="Arial" w:eastAsia="Arial" w:hAnsi="Arial" w:cs="Arial"/>
          <w:sz w:val="24"/>
          <w:szCs w:val="24"/>
          <w:lang w:val="en-US"/>
        </w:rPr>
        <w:t xml:space="preserve"> et al., 2018).</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Altman score measurement: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X1</w:t>
      </w:r>
      <w:r w:rsidRPr="00F721C6">
        <w:rPr>
          <w:rFonts w:ascii="Arial" w:eastAsia="Arial" w:hAnsi="Arial" w:cs="Arial"/>
          <w:sz w:val="24"/>
          <w:szCs w:val="24"/>
          <w:lang w:val="en-US"/>
        </w:rPr>
        <w:tab/>
        <w:t xml:space="preserve">= Working Capital / Total Asset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X2</w:t>
      </w:r>
      <w:r w:rsidRPr="00F721C6">
        <w:rPr>
          <w:rFonts w:ascii="Arial" w:eastAsia="Arial" w:hAnsi="Arial" w:cs="Arial"/>
          <w:sz w:val="24"/>
          <w:szCs w:val="24"/>
          <w:lang w:val="en-US"/>
        </w:rPr>
        <w:tab/>
        <w:t xml:space="preserve">= Retained Earning / Total Asset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X3</w:t>
      </w:r>
      <w:r w:rsidRPr="00F721C6">
        <w:rPr>
          <w:rFonts w:ascii="Arial" w:eastAsia="Arial" w:hAnsi="Arial" w:cs="Arial"/>
          <w:sz w:val="24"/>
          <w:szCs w:val="24"/>
          <w:lang w:val="en-US"/>
        </w:rPr>
        <w:tab/>
        <w:t xml:space="preserve">= EBIT / Total Asset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X4</w:t>
      </w:r>
      <w:r w:rsidRPr="00F721C6">
        <w:rPr>
          <w:rFonts w:ascii="Arial" w:eastAsia="Arial" w:hAnsi="Arial" w:cs="Arial"/>
          <w:sz w:val="24"/>
          <w:szCs w:val="24"/>
          <w:lang w:val="en-US"/>
        </w:rPr>
        <w:tab/>
        <w:t>= Market Value of Equity/ Book Value of Total Debt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X5</w:t>
      </w:r>
      <w:r w:rsidRPr="00F721C6">
        <w:rPr>
          <w:rFonts w:ascii="Arial" w:eastAsia="Arial" w:hAnsi="Arial" w:cs="Arial"/>
          <w:sz w:val="24"/>
          <w:szCs w:val="24"/>
          <w:lang w:val="en-US"/>
        </w:rPr>
        <w:tab/>
        <w:t xml:space="preserve">= Sales / Total Asset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Z-Score = 1</w:t>
      </w:r>
      <w:proofErr w:type="gramStart"/>
      <w:r w:rsidRPr="00F721C6">
        <w:rPr>
          <w:rFonts w:ascii="Arial" w:eastAsia="Arial" w:hAnsi="Arial" w:cs="Arial"/>
          <w:sz w:val="24"/>
          <w:szCs w:val="24"/>
          <w:lang w:val="en-US"/>
        </w:rPr>
        <w:t>,2</w:t>
      </w:r>
      <w:proofErr w:type="gramEnd"/>
      <w:r w:rsidRPr="00F721C6">
        <w:rPr>
          <w:rFonts w:ascii="Arial" w:eastAsia="Arial" w:hAnsi="Arial" w:cs="Arial"/>
          <w:sz w:val="24"/>
          <w:szCs w:val="24"/>
          <w:lang w:val="en-US"/>
        </w:rPr>
        <w:t xml:space="preserve"> (X1) 1,4 (X2) 3,3 + (X3) 0,6 + 1,0 (X4) +(X5)</w:t>
      </w:r>
    </w:p>
    <w:p w:rsidR="00F721C6" w:rsidRPr="00F721C6" w:rsidRDefault="00F721C6" w:rsidP="00F721C6">
      <w:pPr>
        <w:widowControl/>
        <w:ind w:left="426" w:firstLine="567"/>
        <w:jc w:val="both"/>
        <w:rPr>
          <w:rFonts w:ascii="Arial" w:eastAsia="Arial" w:hAnsi="Arial" w:cs="Arial"/>
          <w:sz w:val="24"/>
          <w:szCs w:val="24"/>
          <w:lang w:val="en-US"/>
        </w:rPr>
      </w:pPr>
      <w:proofErr w:type="spellStart"/>
      <w:proofErr w:type="gramStart"/>
      <w:r w:rsidRPr="00F721C6">
        <w:rPr>
          <w:rFonts w:ascii="Arial" w:eastAsia="Arial" w:hAnsi="Arial" w:cs="Arial"/>
          <w:sz w:val="24"/>
          <w:szCs w:val="24"/>
          <w:lang w:val="en-US"/>
        </w:rPr>
        <w:t>Sourses</w:t>
      </w:r>
      <w:proofErr w:type="spellEnd"/>
      <w:r w:rsidRPr="00F721C6">
        <w:rPr>
          <w:rFonts w:ascii="Arial" w:eastAsia="Arial" w:hAnsi="Arial" w:cs="Arial"/>
          <w:sz w:val="24"/>
          <w:szCs w:val="24"/>
          <w:lang w:val="en-US"/>
        </w:rPr>
        <w:t xml:space="preserve"> :</w:t>
      </w:r>
      <w:proofErr w:type="gram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Nurdyastuti</w:t>
      </w:r>
      <w:proofErr w:type="spellEnd"/>
      <w:r w:rsidRPr="00F721C6">
        <w:rPr>
          <w:rFonts w:ascii="Arial" w:eastAsia="Arial" w:hAnsi="Arial" w:cs="Arial"/>
          <w:sz w:val="24"/>
          <w:szCs w:val="24"/>
          <w:lang w:val="en-US"/>
        </w:rPr>
        <w:t xml:space="preserve"> &amp; Iskandar, 2019)</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The classification in the Altman Z-Score method with characteristics include:</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Value.&gt;.2.90 companies that are in the healthy zone</w:t>
      </w:r>
    </w:p>
    <w:p w:rsidR="004D7521"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The value of 1.81 &lt; Z-Score &lt; 2.99 has not been found to be bankrupt or not (gray area).</w:t>
      </w:r>
    </w:p>
    <w:p w:rsidR="00F721C6" w:rsidRPr="00F721C6" w:rsidRDefault="00F721C6" w:rsidP="00F721C6">
      <w:pPr>
        <w:keepNext/>
        <w:keepLines/>
        <w:widowControl/>
        <w:ind w:left="426"/>
        <w:jc w:val="both"/>
        <w:rPr>
          <w:rFonts w:ascii="Arial" w:eastAsia="Arial" w:hAnsi="Arial" w:cs="Arial"/>
          <w:b/>
          <w:sz w:val="24"/>
          <w:szCs w:val="24"/>
          <w:lang w:val="en-US"/>
        </w:rPr>
      </w:pPr>
      <w:r w:rsidRPr="00F721C6">
        <w:rPr>
          <w:rFonts w:ascii="Arial" w:eastAsia="Arial" w:hAnsi="Arial" w:cs="Arial"/>
          <w:b/>
          <w:sz w:val="24"/>
          <w:szCs w:val="24"/>
          <w:lang w:val="en-US"/>
        </w:rPr>
        <w:t xml:space="preserve">A value of &lt; 1.81 is at risk of bankruptcy. </w:t>
      </w:r>
    </w:p>
    <w:p w:rsidR="00E62AC3" w:rsidRPr="00F15402" w:rsidRDefault="00F721C6" w:rsidP="00F721C6">
      <w:pPr>
        <w:keepNext/>
        <w:keepLines/>
        <w:widowControl/>
        <w:ind w:left="426"/>
        <w:jc w:val="both"/>
        <w:rPr>
          <w:rFonts w:ascii="Arial" w:eastAsia="Arial" w:hAnsi="Arial" w:cs="Arial"/>
          <w:b/>
          <w:sz w:val="24"/>
          <w:szCs w:val="24"/>
          <w:lang w:val="en-US"/>
        </w:rPr>
      </w:pPr>
      <w:proofErr w:type="spellStart"/>
      <w:r w:rsidRPr="00F721C6">
        <w:rPr>
          <w:rFonts w:ascii="Arial" w:eastAsia="Arial" w:hAnsi="Arial" w:cs="Arial"/>
          <w:b/>
          <w:sz w:val="24"/>
          <w:szCs w:val="24"/>
          <w:lang w:val="en-US"/>
        </w:rPr>
        <w:t>Metode</w:t>
      </w:r>
      <w:proofErr w:type="spellEnd"/>
      <w:r w:rsidRPr="00F721C6">
        <w:rPr>
          <w:rFonts w:ascii="Arial" w:eastAsia="Arial" w:hAnsi="Arial" w:cs="Arial"/>
          <w:b/>
          <w:sz w:val="24"/>
          <w:szCs w:val="24"/>
          <w:lang w:val="en-US"/>
        </w:rPr>
        <w:t xml:space="preserve"> </w:t>
      </w:r>
      <w:proofErr w:type="spellStart"/>
      <w:r w:rsidRPr="00F721C6">
        <w:rPr>
          <w:rFonts w:ascii="Arial" w:eastAsia="Arial" w:hAnsi="Arial" w:cs="Arial"/>
          <w:b/>
          <w:sz w:val="24"/>
          <w:szCs w:val="24"/>
          <w:lang w:val="en-US"/>
        </w:rPr>
        <w:t>Springate</w:t>
      </w:r>
      <w:proofErr w:type="spellEnd"/>
      <w:r w:rsidRPr="00F721C6">
        <w:rPr>
          <w:rFonts w:ascii="Arial" w:eastAsia="Arial" w:hAnsi="Arial" w:cs="Arial"/>
          <w:b/>
          <w:sz w:val="24"/>
          <w:szCs w:val="24"/>
          <w:lang w:val="en-US"/>
        </w:rPr>
        <w:t xml:space="preserve"> (S-Score)</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 xml:space="preserve">This model is an analytical model that assesses bankruptcy risk, this model was introduced by an economist in (1978), made using the Altman method, after retesting, </w:t>
      </w:r>
      <w:proofErr w:type="spellStart"/>
      <w:proofErr w:type="gramStart"/>
      <w:r w:rsidRPr="00F721C6">
        <w:rPr>
          <w:rFonts w:ascii="Arial" w:eastAsia="Arial" w:hAnsi="Arial" w:cs="Arial"/>
          <w:sz w:val="24"/>
          <w:szCs w:val="24"/>
          <w:lang w:val="en-US"/>
        </w:rPr>
        <w:t>Springate</w:t>
      </w:r>
      <w:proofErr w:type="spellEnd"/>
      <w:proofErr w:type="gramEnd"/>
      <w:r w:rsidRPr="00F721C6">
        <w:rPr>
          <w:rFonts w:ascii="Arial" w:eastAsia="Arial" w:hAnsi="Arial" w:cs="Arial"/>
          <w:sz w:val="24"/>
          <w:szCs w:val="24"/>
          <w:lang w:val="en-US"/>
        </w:rPr>
        <w:t xml:space="preserve"> determined four ratios used to determine characteristics in the healthy or bankrupt category. Quoting Periods and </w:t>
      </w:r>
      <w:proofErr w:type="spellStart"/>
      <w:r w:rsidRPr="00F721C6">
        <w:rPr>
          <w:rFonts w:ascii="Arial" w:eastAsia="Arial" w:hAnsi="Arial" w:cs="Arial"/>
          <w:sz w:val="24"/>
          <w:szCs w:val="24"/>
          <w:lang w:val="en-US"/>
        </w:rPr>
        <w:t>Parquids</w:t>
      </w:r>
      <w:proofErr w:type="spellEnd"/>
      <w:r w:rsidRPr="00F721C6">
        <w:rPr>
          <w:rFonts w:ascii="Arial" w:eastAsia="Arial" w:hAnsi="Arial" w:cs="Arial"/>
          <w:sz w:val="24"/>
          <w:szCs w:val="24"/>
          <w:lang w:val="en-US"/>
        </w:rPr>
        <w:t xml:space="preserve"> in (</w:t>
      </w:r>
      <w:proofErr w:type="spellStart"/>
      <w:r w:rsidRPr="00F721C6">
        <w:rPr>
          <w:rFonts w:ascii="Arial" w:eastAsia="Arial" w:hAnsi="Arial" w:cs="Arial"/>
          <w:sz w:val="24"/>
          <w:szCs w:val="24"/>
          <w:lang w:val="en-US"/>
        </w:rPr>
        <w:t>Periode</w:t>
      </w:r>
      <w:proofErr w:type="spellEnd"/>
      <w:r w:rsidRPr="00F721C6">
        <w:rPr>
          <w:rFonts w:ascii="Arial" w:eastAsia="Arial" w:hAnsi="Arial" w:cs="Arial"/>
          <w:sz w:val="24"/>
          <w:szCs w:val="24"/>
          <w:lang w:val="en-US"/>
        </w:rPr>
        <w:t xml:space="preserve"> 2022). </w:t>
      </w:r>
      <w:proofErr w:type="spellStart"/>
      <w:r w:rsidRPr="00F721C6">
        <w:rPr>
          <w:rFonts w:ascii="Arial" w:eastAsia="Arial" w:hAnsi="Arial" w:cs="Arial"/>
          <w:sz w:val="24"/>
          <w:szCs w:val="24"/>
          <w:lang w:val="en-US"/>
        </w:rPr>
        <w:t>Springate</w:t>
      </w:r>
      <w:proofErr w:type="spellEnd"/>
      <w:r w:rsidRPr="00F721C6">
        <w:rPr>
          <w:rFonts w:ascii="Arial" w:eastAsia="Arial" w:hAnsi="Arial" w:cs="Arial"/>
          <w:sz w:val="24"/>
          <w:szCs w:val="24"/>
          <w:lang w:val="en-US"/>
        </w:rPr>
        <w:t xml:space="preserve"> has an accuracy of 92.5% with the use of 40 company samples in bankruptcy predictions.</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S-Score = 1</w:t>
      </w:r>
      <w:proofErr w:type="gramStart"/>
      <w:r w:rsidRPr="00F721C6">
        <w:rPr>
          <w:rFonts w:ascii="Arial" w:eastAsia="Arial" w:hAnsi="Arial" w:cs="Arial"/>
          <w:sz w:val="24"/>
          <w:szCs w:val="24"/>
          <w:lang w:val="en-US"/>
        </w:rPr>
        <w:t>,03</w:t>
      </w:r>
      <w:proofErr w:type="gramEnd"/>
      <w:r w:rsidRPr="00F721C6">
        <w:rPr>
          <w:rFonts w:ascii="Arial" w:eastAsia="Arial" w:hAnsi="Arial" w:cs="Arial"/>
          <w:sz w:val="24"/>
          <w:szCs w:val="24"/>
          <w:lang w:val="en-US"/>
        </w:rPr>
        <w:t xml:space="preserve"> (X1) + 3,07 (X2) + 0,66 (X3) + 0,4 (X4)</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Excerpt from (</w:t>
      </w:r>
      <w:proofErr w:type="spellStart"/>
      <w:r w:rsidRPr="00F721C6">
        <w:rPr>
          <w:rFonts w:ascii="Arial" w:eastAsia="Arial" w:hAnsi="Arial" w:cs="Arial"/>
          <w:sz w:val="24"/>
          <w:szCs w:val="24"/>
          <w:lang w:val="en-US"/>
        </w:rPr>
        <w:t>Haryo</w:t>
      </w:r>
      <w:proofErr w:type="spell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Prakoso</w:t>
      </w:r>
      <w:proofErr w:type="spellEnd"/>
      <w:r w:rsidRPr="00F721C6">
        <w:rPr>
          <w:rFonts w:ascii="Arial" w:eastAsia="Arial" w:hAnsi="Arial" w:cs="Arial"/>
          <w:sz w:val="24"/>
          <w:szCs w:val="24"/>
          <w:lang w:val="en-US"/>
        </w:rPr>
        <w:t xml:space="preserve"> et al., 2022):</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X1</w:t>
      </w:r>
      <w:r w:rsidRPr="00F721C6">
        <w:rPr>
          <w:rFonts w:ascii="Arial" w:eastAsia="Arial" w:hAnsi="Arial" w:cs="Arial"/>
          <w:sz w:val="24"/>
          <w:szCs w:val="24"/>
          <w:lang w:val="en-US"/>
        </w:rPr>
        <w:tab/>
        <w:t>= Working Capital / Total Asset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X2</w:t>
      </w:r>
      <w:r w:rsidRPr="00F721C6">
        <w:rPr>
          <w:rFonts w:ascii="Arial" w:eastAsia="Arial" w:hAnsi="Arial" w:cs="Arial"/>
          <w:sz w:val="24"/>
          <w:szCs w:val="24"/>
          <w:lang w:val="en-US"/>
        </w:rPr>
        <w:tab/>
        <w:t xml:space="preserve">= Net Profit </w:t>
      </w:r>
      <w:proofErr w:type="gramStart"/>
      <w:r w:rsidRPr="00F721C6">
        <w:rPr>
          <w:rFonts w:ascii="Arial" w:eastAsia="Arial" w:hAnsi="Arial" w:cs="Arial"/>
          <w:sz w:val="24"/>
          <w:szCs w:val="24"/>
          <w:lang w:val="en-US"/>
        </w:rPr>
        <w:t>Before</w:t>
      </w:r>
      <w:proofErr w:type="gramEnd"/>
      <w:r w:rsidRPr="00F721C6">
        <w:rPr>
          <w:rFonts w:ascii="Arial" w:eastAsia="Arial" w:hAnsi="Arial" w:cs="Arial"/>
          <w:sz w:val="24"/>
          <w:szCs w:val="24"/>
          <w:lang w:val="en-US"/>
        </w:rPr>
        <w:t xml:space="preserve"> Interest and Taxes / Total Asset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X3</w:t>
      </w:r>
      <w:r w:rsidRPr="00F721C6">
        <w:rPr>
          <w:rFonts w:ascii="Arial" w:eastAsia="Arial" w:hAnsi="Arial" w:cs="Arial"/>
          <w:sz w:val="24"/>
          <w:szCs w:val="24"/>
          <w:lang w:val="en-US"/>
        </w:rPr>
        <w:tab/>
        <w:t xml:space="preserve">= Net Profit </w:t>
      </w:r>
      <w:proofErr w:type="spellStart"/>
      <w:r w:rsidRPr="00F721C6">
        <w:rPr>
          <w:rFonts w:ascii="Arial" w:eastAsia="Arial" w:hAnsi="Arial" w:cs="Arial"/>
          <w:sz w:val="24"/>
          <w:szCs w:val="24"/>
          <w:lang w:val="en-US"/>
        </w:rPr>
        <w:t>Beore</w:t>
      </w:r>
      <w:proofErr w:type="spell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Taxex</w:t>
      </w:r>
      <w:proofErr w:type="spellEnd"/>
      <w:r w:rsidRPr="00F721C6">
        <w:rPr>
          <w:rFonts w:ascii="Arial" w:eastAsia="Arial" w:hAnsi="Arial" w:cs="Arial"/>
          <w:sz w:val="24"/>
          <w:szCs w:val="24"/>
          <w:lang w:val="en-US"/>
        </w:rPr>
        <w:t xml:space="preserve"> / Current Debt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X4</w:t>
      </w:r>
      <w:r w:rsidRPr="00F721C6">
        <w:rPr>
          <w:rFonts w:ascii="Arial" w:eastAsia="Arial" w:hAnsi="Arial" w:cs="Arial"/>
          <w:sz w:val="24"/>
          <w:szCs w:val="24"/>
          <w:lang w:val="en-US"/>
        </w:rPr>
        <w:tab/>
        <w:t>= Sales / Total Asset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 xml:space="preserve">The provisions for the s-score value are as follows: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 xml:space="preserve">If the &gt; value of 0.862 means that the company is categorized as a healthy company.  </w:t>
      </w:r>
    </w:p>
    <w:p w:rsidR="00E62AC3"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If the &lt; value is 0.862, the company tends to go bankrupt (unhealthy).</w:t>
      </w:r>
    </w:p>
    <w:p w:rsidR="00A76240" w:rsidRPr="00F15402" w:rsidRDefault="00F721C6" w:rsidP="00A76240">
      <w:pPr>
        <w:keepNext/>
        <w:keepLines/>
        <w:widowControl/>
        <w:ind w:left="426"/>
        <w:jc w:val="both"/>
        <w:rPr>
          <w:rFonts w:ascii="Arial" w:eastAsia="Arial" w:hAnsi="Arial" w:cs="Arial"/>
          <w:b/>
          <w:sz w:val="24"/>
          <w:szCs w:val="24"/>
          <w:lang w:val="en-US"/>
        </w:rPr>
      </w:pPr>
      <w:proofErr w:type="spellStart"/>
      <w:r w:rsidRPr="00F721C6">
        <w:rPr>
          <w:rFonts w:ascii="Arial" w:eastAsia="Arial" w:hAnsi="Arial" w:cs="Arial"/>
          <w:b/>
          <w:sz w:val="24"/>
          <w:szCs w:val="24"/>
          <w:lang w:val="en-US"/>
        </w:rPr>
        <w:t>Zmijewsky</w:t>
      </w:r>
      <w:proofErr w:type="spellEnd"/>
      <w:r w:rsidRPr="00F721C6">
        <w:rPr>
          <w:rFonts w:ascii="Arial" w:eastAsia="Arial" w:hAnsi="Arial" w:cs="Arial"/>
          <w:b/>
          <w:sz w:val="24"/>
          <w:szCs w:val="24"/>
          <w:lang w:val="en-US"/>
        </w:rPr>
        <w:t xml:space="preserve"> model (X-Score)</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 xml:space="preserve">The X-Score model is a bankruptcy predictor model produced by </w:t>
      </w:r>
      <w:proofErr w:type="spellStart"/>
      <w:r w:rsidRPr="00F721C6">
        <w:rPr>
          <w:rFonts w:ascii="Arial" w:eastAsia="Arial" w:hAnsi="Arial" w:cs="Arial"/>
          <w:sz w:val="24"/>
          <w:szCs w:val="24"/>
          <w:lang w:val="en-US"/>
        </w:rPr>
        <w:t>Zmijeski</w:t>
      </w:r>
      <w:proofErr w:type="spellEnd"/>
      <w:r w:rsidRPr="00F721C6">
        <w:rPr>
          <w:rFonts w:ascii="Arial" w:eastAsia="Arial" w:hAnsi="Arial" w:cs="Arial"/>
          <w:sz w:val="24"/>
          <w:szCs w:val="24"/>
          <w:lang w:val="en-US"/>
        </w:rPr>
        <w:t xml:space="preserve"> in the period 1984 (M. P. Sari et al., 2019). X-score uses the company's financial ratios of ROA, </w:t>
      </w:r>
      <w:proofErr w:type="spellStart"/>
      <w:r w:rsidRPr="00F721C6">
        <w:rPr>
          <w:rFonts w:ascii="Arial" w:eastAsia="Arial" w:hAnsi="Arial" w:cs="Arial"/>
          <w:sz w:val="24"/>
          <w:szCs w:val="24"/>
          <w:lang w:val="en-US"/>
        </w:rPr>
        <w:t>Reverage</w:t>
      </w:r>
      <w:proofErr w:type="spellEnd"/>
      <w:r w:rsidRPr="00F721C6">
        <w:rPr>
          <w:rFonts w:ascii="Arial" w:eastAsia="Arial" w:hAnsi="Arial" w:cs="Arial"/>
          <w:sz w:val="24"/>
          <w:szCs w:val="24"/>
          <w:lang w:val="en-US"/>
        </w:rPr>
        <w:t xml:space="preserve"> and liquidity to develop its model (</w:t>
      </w:r>
      <w:proofErr w:type="spellStart"/>
      <w:r w:rsidRPr="00F721C6">
        <w:rPr>
          <w:rFonts w:ascii="Arial" w:eastAsia="Arial" w:hAnsi="Arial" w:cs="Arial"/>
          <w:sz w:val="24"/>
          <w:szCs w:val="24"/>
          <w:lang w:val="en-US"/>
        </w:rPr>
        <w:t>Sunaryo</w:t>
      </w:r>
      <w:proofErr w:type="spell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Putri</w:t>
      </w:r>
      <w:proofErr w:type="spellEnd"/>
      <w:r w:rsidRPr="00F721C6">
        <w:rPr>
          <w:rFonts w:ascii="Arial" w:eastAsia="Arial" w:hAnsi="Arial" w:cs="Arial"/>
          <w:sz w:val="24"/>
          <w:szCs w:val="24"/>
          <w:lang w:val="en-US"/>
        </w:rPr>
        <w:t xml:space="preserve">, 2018). So the </w:t>
      </w:r>
      <w:proofErr w:type="spellStart"/>
      <w:r w:rsidRPr="00F721C6">
        <w:rPr>
          <w:rFonts w:ascii="Arial" w:eastAsia="Arial" w:hAnsi="Arial" w:cs="Arial"/>
          <w:sz w:val="24"/>
          <w:szCs w:val="24"/>
          <w:lang w:val="en-US"/>
        </w:rPr>
        <w:t>zmijewski</w:t>
      </w:r>
      <w:proofErr w:type="spellEnd"/>
      <w:r w:rsidRPr="00F721C6">
        <w:rPr>
          <w:rFonts w:ascii="Arial" w:eastAsia="Arial" w:hAnsi="Arial" w:cs="Arial"/>
          <w:sz w:val="24"/>
          <w:szCs w:val="24"/>
          <w:lang w:val="en-US"/>
        </w:rPr>
        <w:t xml:space="preserve"> model has three financial ratios considered good in the predictor.</w:t>
      </w:r>
    </w:p>
    <w:p w:rsidR="00F721C6" w:rsidRPr="00F721C6" w:rsidRDefault="00F721C6" w:rsidP="00F721C6">
      <w:pPr>
        <w:widowControl/>
        <w:ind w:left="426" w:firstLine="567"/>
        <w:jc w:val="both"/>
        <w:rPr>
          <w:rFonts w:ascii="Arial" w:eastAsia="Arial" w:hAnsi="Arial" w:cs="Arial"/>
          <w:sz w:val="24"/>
          <w:szCs w:val="24"/>
          <w:lang w:val="en-US"/>
        </w:rPr>
      </w:pPr>
      <w:proofErr w:type="gramStart"/>
      <w:r w:rsidRPr="00F721C6">
        <w:rPr>
          <w:rFonts w:ascii="Arial" w:eastAsia="Arial" w:hAnsi="Arial" w:cs="Arial"/>
          <w:sz w:val="24"/>
          <w:szCs w:val="24"/>
          <w:lang w:val="en-US"/>
        </w:rPr>
        <w:t>formula</w:t>
      </w:r>
      <w:proofErr w:type="gramEnd"/>
      <w:r w:rsidRPr="00F721C6">
        <w:rPr>
          <w:rFonts w:ascii="Arial" w:eastAsia="Arial" w:hAnsi="Arial" w:cs="Arial"/>
          <w:sz w:val="24"/>
          <w:szCs w:val="24"/>
          <w:lang w:val="en-US"/>
        </w:rPr>
        <w:t xml:space="preserve"> model x score :</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 Score= -4</w:t>
      </w:r>
      <w:proofErr w:type="gramStart"/>
      <w:r w:rsidRPr="00F721C6">
        <w:rPr>
          <w:rFonts w:ascii="Arial" w:eastAsia="Arial" w:hAnsi="Arial" w:cs="Arial"/>
          <w:sz w:val="24"/>
          <w:szCs w:val="24"/>
          <w:lang w:val="en-US"/>
        </w:rPr>
        <w:t>,3</w:t>
      </w:r>
      <w:proofErr w:type="gramEnd"/>
      <w:r w:rsidRPr="00F721C6">
        <w:rPr>
          <w:rFonts w:ascii="Arial" w:eastAsia="Arial" w:hAnsi="Arial" w:cs="Arial"/>
          <w:sz w:val="24"/>
          <w:szCs w:val="24"/>
          <w:lang w:val="en-US"/>
        </w:rPr>
        <w:t xml:space="preserve"> - 4,5 (X1) + 5,7 (X2 -0,004 (X3)</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Excerpt from (</w:t>
      </w:r>
      <w:proofErr w:type="spellStart"/>
      <w:r w:rsidRPr="00F721C6">
        <w:rPr>
          <w:rFonts w:ascii="Arial" w:eastAsia="Arial" w:hAnsi="Arial" w:cs="Arial"/>
          <w:sz w:val="24"/>
          <w:szCs w:val="24"/>
          <w:lang w:val="en-US"/>
        </w:rPr>
        <w:t>Evi</w:t>
      </w:r>
      <w:proofErr w:type="spell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Dwi</w:t>
      </w:r>
      <w:proofErr w:type="spellEnd"/>
      <w:r w:rsidRPr="00F721C6">
        <w:rPr>
          <w:rFonts w:ascii="Arial" w:eastAsia="Arial" w:hAnsi="Arial" w:cs="Arial"/>
          <w:sz w:val="24"/>
          <w:szCs w:val="24"/>
          <w:lang w:val="en-US"/>
        </w:rPr>
        <w:t xml:space="preserve"> </w:t>
      </w:r>
      <w:proofErr w:type="spellStart"/>
      <w:r w:rsidRPr="00F721C6">
        <w:rPr>
          <w:rFonts w:ascii="Arial" w:eastAsia="Arial" w:hAnsi="Arial" w:cs="Arial"/>
          <w:sz w:val="24"/>
          <w:szCs w:val="24"/>
          <w:lang w:val="en-US"/>
        </w:rPr>
        <w:t>Prihanthini</w:t>
      </w:r>
      <w:proofErr w:type="spellEnd"/>
      <w:r w:rsidRPr="00F721C6">
        <w:rPr>
          <w:rFonts w:ascii="Arial" w:eastAsia="Arial" w:hAnsi="Arial" w:cs="Arial"/>
          <w:sz w:val="24"/>
          <w:szCs w:val="24"/>
          <w:lang w:val="en-US"/>
        </w:rPr>
        <w:t xml:space="preserve"> &amp; </w:t>
      </w:r>
      <w:proofErr w:type="spellStart"/>
      <w:r w:rsidRPr="00F721C6">
        <w:rPr>
          <w:rFonts w:ascii="Arial" w:eastAsia="Arial" w:hAnsi="Arial" w:cs="Arial"/>
          <w:sz w:val="24"/>
          <w:szCs w:val="24"/>
          <w:lang w:val="en-US"/>
        </w:rPr>
        <w:t>M.Ratna</w:t>
      </w:r>
      <w:proofErr w:type="spellEnd"/>
      <w:r w:rsidRPr="00F721C6">
        <w:rPr>
          <w:rFonts w:ascii="Arial" w:eastAsia="Arial" w:hAnsi="Arial" w:cs="Arial"/>
          <w:sz w:val="24"/>
          <w:szCs w:val="24"/>
          <w:lang w:val="en-US"/>
        </w:rPr>
        <w:t xml:space="preserve"> Sari, 2013) The description x-</w:t>
      </w:r>
      <w:proofErr w:type="gramStart"/>
      <w:r w:rsidRPr="00F721C6">
        <w:rPr>
          <w:rFonts w:ascii="Arial" w:eastAsia="Arial" w:hAnsi="Arial" w:cs="Arial"/>
          <w:sz w:val="24"/>
          <w:szCs w:val="24"/>
          <w:lang w:val="en-US"/>
        </w:rPr>
        <w:t>score :</w:t>
      </w:r>
      <w:proofErr w:type="gramEnd"/>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X1 = Net Income / Total Assets (ROA)</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X2 = Total Debt / Total Assets (Leverage)</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X3 = Current Assets / Current Debt (</w:t>
      </w:r>
      <w:proofErr w:type="spellStart"/>
      <w:r w:rsidRPr="00F721C6">
        <w:rPr>
          <w:rFonts w:ascii="Arial" w:eastAsia="Arial" w:hAnsi="Arial" w:cs="Arial"/>
          <w:sz w:val="24"/>
          <w:szCs w:val="24"/>
          <w:lang w:val="en-US"/>
        </w:rPr>
        <w:t>Likuiditas</w:t>
      </w:r>
      <w:proofErr w:type="spellEnd"/>
      <w:r w:rsidRPr="00F721C6">
        <w:rPr>
          <w:rFonts w:ascii="Arial" w:eastAsia="Arial" w:hAnsi="Arial" w:cs="Arial"/>
          <w:sz w:val="24"/>
          <w:szCs w:val="24"/>
          <w:lang w:val="en-US"/>
        </w:rPr>
        <w:t>)</w:t>
      </w:r>
    </w:p>
    <w:p w:rsidR="00F721C6" w:rsidRPr="00F721C6"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lastRenderedPageBreak/>
        <w:t xml:space="preserve">Results of predictor values in the </w:t>
      </w:r>
      <w:proofErr w:type="spellStart"/>
      <w:r w:rsidRPr="00F721C6">
        <w:rPr>
          <w:rFonts w:ascii="Arial" w:eastAsia="Arial" w:hAnsi="Arial" w:cs="Arial"/>
          <w:sz w:val="24"/>
          <w:szCs w:val="24"/>
          <w:lang w:val="en-US"/>
        </w:rPr>
        <w:t>zmijewski</w:t>
      </w:r>
      <w:proofErr w:type="spellEnd"/>
      <w:r w:rsidRPr="00F721C6">
        <w:rPr>
          <w:rFonts w:ascii="Arial" w:eastAsia="Arial" w:hAnsi="Arial" w:cs="Arial"/>
          <w:sz w:val="24"/>
          <w:szCs w:val="24"/>
          <w:lang w:val="en-US"/>
        </w:rPr>
        <w:t xml:space="preserve"> model:</w:t>
      </w:r>
    </w:p>
    <w:p w:rsidR="00A76240" w:rsidRPr="00423145" w:rsidRDefault="00F721C6" w:rsidP="00F721C6">
      <w:pPr>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The score obtained exceeds zero, it is very likely that the company will go bankrupt.</w:t>
      </w:r>
    </w:p>
    <w:p w:rsidR="00F47D48" w:rsidRDefault="00F47D48">
      <w:pPr>
        <w:keepNext/>
        <w:keepLines/>
        <w:widowControl/>
        <w:ind w:left="426"/>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 xml:space="preserve">CONCEPTUAL FRAMEWORK </w:t>
      </w:r>
    </w:p>
    <w:p w:rsidR="00B21847" w:rsidRDefault="00B21847" w:rsidP="00B21847">
      <w:pPr>
        <w:widowControl/>
        <w:jc w:val="both"/>
        <w:rPr>
          <w:rFonts w:ascii="Arial" w:eastAsia="Arial" w:hAnsi="Arial" w:cs="Arial"/>
          <w:sz w:val="24"/>
          <w:szCs w:val="24"/>
        </w:rPr>
      </w:pPr>
    </w:p>
    <w:p w:rsidR="00B21847" w:rsidRDefault="00B21847" w:rsidP="00B21847">
      <w:pPr>
        <w:widowControl/>
        <w:ind w:left="450"/>
        <w:jc w:val="center"/>
        <w:rPr>
          <w:rFonts w:ascii="Arial" w:eastAsia="Arial" w:hAnsi="Arial" w:cs="Arial"/>
          <w:sz w:val="24"/>
          <w:szCs w:val="24"/>
          <w:lang w:val="en-US"/>
        </w:rPr>
      </w:pPr>
      <w:r>
        <w:rPr>
          <w:rFonts w:ascii="Arial" w:eastAsia="Arial" w:hAnsi="Arial" w:cs="Arial"/>
          <w:sz w:val="24"/>
          <w:szCs w:val="24"/>
          <w:lang w:val="en-US"/>
        </w:rPr>
        <w:t>Figure 1. Conceptual Framework</w:t>
      </w:r>
    </w:p>
    <w:p w:rsidR="00B21847" w:rsidRPr="00B21847" w:rsidRDefault="00F721C6" w:rsidP="00B21847">
      <w:pPr>
        <w:widowControl/>
        <w:ind w:left="450"/>
        <w:jc w:val="center"/>
        <w:rPr>
          <w:rFonts w:ascii="Arial" w:eastAsia="Arial" w:hAnsi="Arial" w:cs="Arial"/>
          <w:sz w:val="24"/>
          <w:szCs w:val="24"/>
          <w:lang w:val="en-US"/>
        </w:rPr>
      </w:pPr>
      <w:r w:rsidRPr="00350D99">
        <w:rPr>
          <w:b/>
          <w:bCs/>
          <w:noProof/>
          <w:lang w:val="en-US"/>
        </w:rPr>
        <w:drawing>
          <wp:anchor distT="0" distB="0" distL="114300" distR="114300" simplePos="0" relativeHeight="251660288" behindDoc="0" locked="0" layoutInCell="1" allowOverlap="1" wp14:anchorId="23325B14" wp14:editId="5DDCC5F0">
            <wp:simplePos x="0" y="0"/>
            <wp:positionH relativeFrom="margin">
              <wp:align>center</wp:align>
            </wp:positionH>
            <wp:positionV relativeFrom="paragraph">
              <wp:posOffset>223520</wp:posOffset>
            </wp:positionV>
            <wp:extent cx="2635885" cy="287210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017" t="9297" r="10887" b="35118"/>
                    <a:stretch/>
                  </pic:blipFill>
                  <pic:spPr bwMode="auto">
                    <a:xfrm>
                      <a:off x="0" y="0"/>
                      <a:ext cx="2635885" cy="2872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1847" w:rsidRDefault="00B21847" w:rsidP="00B21847">
      <w:pPr>
        <w:widowControl/>
        <w:ind w:left="450"/>
        <w:jc w:val="center"/>
        <w:rPr>
          <w:rFonts w:ascii="Arial" w:eastAsia="Arial" w:hAnsi="Arial" w:cs="Arial"/>
          <w:sz w:val="24"/>
          <w:szCs w:val="24"/>
        </w:rPr>
      </w:pPr>
    </w:p>
    <w:p w:rsidR="00F47D48" w:rsidRDefault="00F47D48">
      <w:pPr>
        <w:keepNext/>
        <w:keepLines/>
        <w:widowControl/>
        <w:ind w:left="426"/>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rsidR="00F721C6" w:rsidRPr="00F721C6" w:rsidRDefault="00F721C6" w:rsidP="00F721C6">
      <w:pPr>
        <w:widowControl/>
        <w:ind w:left="426" w:firstLine="567"/>
        <w:jc w:val="both"/>
        <w:rPr>
          <w:rFonts w:ascii="Arial" w:eastAsia="Arial" w:hAnsi="Arial" w:cs="Arial"/>
          <w:sz w:val="24"/>
          <w:szCs w:val="24"/>
        </w:rPr>
      </w:pPr>
      <w:r w:rsidRPr="00F721C6">
        <w:rPr>
          <w:rFonts w:ascii="Arial" w:eastAsia="Arial" w:hAnsi="Arial" w:cs="Arial"/>
          <w:sz w:val="24"/>
          <w:szCs w:val="24"/>
        </w:rPr>
        <w:t xml:space="preserve">The type of research used in this study is quantitative which is comparative. According to (Sugiyono, 2013) said that quantitative research method is a research method based on the philosophy of concrete data, is factual and empirical. While comparative research is a study that compares the existence of one or more variables in two or more samples at different points in time(Sugiyono, 2013).  </w:t>
      </w:r>
    </w:p>
    <w:p w:rsidR="00F721C6" w:rsidRPr="00F721C6" w:rsidRDefault="00F721C6" w:rsidP="00F721C6">
      <w:pPr>
        <w:widowControl/>
        <w:ind w:left="426" w:firstLine="567"/>
        <w:jc w:val="both"/>
        <w:rPr>
          <w:rFonts w:ascii="Arial" w:eastAsia="Arial" w:hAnsi="Arial" w:cs="Arial"/>
          <w:sz w:val="24"/>
          <w:szCs w:val="24"/>
        </w:rPr>
      </w:pPr>
      <w:r w:rsidRPr="00F721C6">
        <w:rPr>
          <w:rFonts w:ascii="Arial" w:eastAsia="Arial" w:hAnsi="Arial" w:cs="Arial"/>
          <w:sz w:val="24"/>
          <w:szCs w:val="24"/>
        </w:rPr>
        <w:t>Based on the explanation above, it can be concluded that the researcher wants to compare bankruptcy predictors where, the bankruptcy methods of companies to be compared are the Altman method (Z-Score), Springate (S-Score), and Zemijewski (X-Score). The population in this study includes real estate and property sector companies listed on the Indonesia Stock Exchange for the period 2019 to 2021.</w:t>
      </w:r>
    </w:p>
    <w:p w:rsidR="00F47D48" w:rsidRDefault="00F721C6" w:rsidP="00F721C6">
      <w:pPr>
        <w:widowControl/>
        <w:ind w:left="426" w:firstLine="567"/>
        <w:jc w:val="both"/>
        <w:rPr>
          <w:rFonts w:ascii="Arial" w:eastAsia="Arial" w:hAnsi="Arial" w:cs="Arial"/>
          <w:sz w:val="24"/>
          <w:szCs w:val="24"/>
        </w:rPr>
      </w:pPr>
      <w:r w:rsidRPr="00F721C6">
        <w:rPr>
          <w:rFonts w:ascii="Arial" w:eastAsia="Arial" w:hAnsi="Arial" w:cs="Arial"/>
          <w:sz w:val="24"/>
          <w:szCs w:val="24"/>
        </w:rPr>
        <w:t>The population in this study includes real estate and property sector companies listed on the Indonesia Stock Exchange for the period 2019 to 2021 with a total of 80 companies. The use of this study is purposive sampling of 45 companies</w:t>
      </w:r>
      <w:r>
        <w:rPr>
          <w:rFonts w:ascii="Arial" w:eastAsia="Arial" w:hAnsi="Arial" w:cs="Arial"/>
          <w:sz w:val="24"/>
          <w:szCs w:val="24"/>
          <w:lang w:val="en-US"/>
        </w:rPr>
        <w:t>.</w:t>
      </w:r>
      <w:r w:rsidR="006B1E41">
        <w:rPr>
          <w:rFonts w:ascii="Arial" w:eastAsia="Arial" w:hAnsi="Arial" w:cs="Arial"/>
          <w:sz w:val="24"/>
          <w:szCs w:val="24"/>
        </w:rPr>
        <w:t xml:space="preserve">  </w:t>
      </w:r>
    </w:p>
    <w:p w:rsidR="00F47D48" w:rsidRDefault="00F47D48">
      <w:pPr>
        <w:widowControl/>
        <w:ind w:left="426" w:firstLine="284"/>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RESULT AND DISCUSSION</w:t>
      </w:r>
    </w:p>
    <w:p w:rsidR="00751486" w:rsidRDefault="00F721C6">
      <w:pPr>
        <w:keepNext/>
        <w:keepLines/>
        <w:widowControl/>
        <w:ind w:left="426"/>
        <w:jc w:val="both"/>
        <w:rPr>
          <w:rFonts w:ascii="Arial" w:eastAsia="Arial" w:hAnsi="Arial" w:cs="Arial"/>
          <w:b/>
          <w:sz w:val="24"/>
          <w:szCs w:val="24"/>
        </w:rPr>
      </w:pPr>
      <w:r w:rsidRPr="00F721C6">
        <w:rPr>
          <w:rFonts w:ascii="Arial" w:eastAsia="Arial" w:hAnsi="Arial" w:cs="Arial"/>
          <w:b/>
          <w:sz w:val="24"/>
          <w:szCs w:val="24"/>
        </w:rPr>
        <w:t>Altman Method Bankruptcy Prediction Calculation</w:t>
      </w:r>
    </w:p>
    <w:p w:rsidR="00516902" w:rsidRDefault="00F721C6" w:rsidP="00516902">
      <w:pPr>
        <w:widowControl/>
        <w:ind w:left="426" w:firstLine="567"/>
        <w:jc w:val="both"/>
        <w:rPr>
          <w:rFonts w:ascii="Arial" w:eastAsia="Arial" w:hAnsi="Arial" w:cs="Arial"/>
          <w:sz w:val="24"/>
          <w:szCs w:val="24"/>
          <w:lang w:val="en-US"/>
        </w:rPr>
      </w:pPr>
      <w:r w:rsidRPr="00F721C6">
        <w:rPr>
          <w:rFonts w:ascii="Arial" w:eastAsia="Arial" w:hAnsi="Arial" w:cs="Arial"/>
          <w:sz w:val="24"/>
          <w:szCs w:val="24"/>
        </w:rPr>
        <w:t xml:space="preserve">Using the Altman method analysis in 2019 there were 16 companies that had the potential to experience bankruptcy. Then there are 6 companies that fall into the gray area category, which means that the company is experiencing financial problems but not serious ones that have not occurred in bankruptcy. Furthermore, in the healthy category with a value of &gt;2.90, there are 23 companies. In 2020, there were 18 companies that had the potential to go bankrupt. Then there are 8 companies that are included in the gray area category, which means that the </w:t>
      </w:r>
      <w:r w:rsidRPr="00F721C6">
        <w:rPr>
          <w:rFonts w:ascii="Arial" w:eastAsia="Arial" w:hAnsi="Arial" w:cs="Arial"/>
          <w:sz w:val="24"/>
          <w:szCs w:val="24"/>
        </w:rPr>
        <w:lastRenderedPageBreak/>
        <w:t>company is experiencing financial problems but not serious that has not occurred in bankruptcy. Furthermore, in the healthy category with a value of &gt;2.90, there are 19 companies. Throughout 2021 there are companies that have the potential to experience bankruptcy 19, then companies that are included in the gray area category there are 6 companies which means that the company is experiencing financial problems but not serious which has not occurred bankruptcy. Furthermore, in the healthy category with a value of &gt;2.90, there are 23 companies.</w:t>
      </w:r>
    </w:p>
    <w:p w:rsidR="00F47D48" w:rsidRPr="00516902" w:rsidRDefault="00F721C6">
      <w:pPr>
        <w:keepNext/>
        <w:keepLines/>
        <w:widowControl/>
        <w:ind w:left="426"/>
        <w:jc w:val="both"/>
        <w:rPr>
          <w:rFonts w:ascii="Arial" w:eastAsia="Arial" w:hAnsi="Arial" w:cs="Arial"/>
          <w:b/>
          <w:sz w:val="24"/>
          <w:szCs w:val="24"/>
          <w:lang w:val="en-US"/>
        </w:rPr>
      </w:pPr>
      <w:proofErr w:type="spellStart"/>
      <w:r w:rsidRPr="00F721C6">
        <w:rPr>
          <w:rFonts w:ascii="Arial" w:eastAsia="Arial" w:hAnsi="Arial" w:cs="Arial"/>
          <w:b/>
          <w:sz w:val="24"/>
          <w:szCs w:val="24"/>
          <w:lang w:val="en-US"/>
        </w:rPr>
        <w:t>Springate</w:t>
      </w:r>
      <w:proofErr w:type="spellEnd"/>
      <w:r w:rsidRPr="00F721C6">
        <w:rPr>
          <w:rFonts w:ascii="Arial" w:eastAsia="Arial" w:hAnsi="Arial" w:cs="Arial"/>
          <w:b/>
          <w:sz w:val="24"/>
          <w:szCs w:val="24"/>
          <w:lang w:val="en-US"/>
        </w:rPr>
        <w:t xml:space="preserve"> Method Bankruptcy Prediction Calculation</w:t>
      </w:r>
    </w:p>
    <w:p w:rsidR="00516902" w:rsidRDefault="00F721C6">
      <w:pPr>
        <w:keepNext/>
        <w:keepLines/>
        <w:widowControl/>
        <w:ind w:left="426" w:firstLine="567"/>
        <w:jc w:val="both"/>
        <w:rPr>
          <w:rFonts w:ascii="Arial" w:eastAsia="Arial" w:hAnsi="Arial" w:cs="Arial"/>
          <w:sz w:val="24"/>
          <w:szCs w:val="24"/>
        </w:rPr>
      </w:pPr>
      <w:r w:rsidRPr="00F721C6">
        <w:rPr>
          <w:rFonts w:ascii="Arial" w:eastAsia="Arial" w:hAnsi="Arial" w:cs="Arial"/>
          <w:sz w:val="24"/>
          <w:szCs w:val="24"/>
        </w:rPr>
        <w:t>The use of springate method analysis in 2019 there were 13 companies that had the potential to experience bankruptcy. Meanwhile, in the healthy category with a value of &lt; 0.862, there are 32 companies. In 2020 there are 5 companies that have the potential to go bankrupt. Meanwhile, in the healthy category with a value of &lt; 0.862, there are 40 companies. Throughout 2021, there were 12 companies that had the potential to go bankrupt. Meanwhile, in the healthy category with a value of &lt; 0.862, there are 33 companies.</w:t>
      </w:r>
    </w:p>
    <w:p w:rsidR="00F721C6" w:rsidRPr="00F721C6" w:rsidRDefault="00F721C6" w:rsidP="00F721C6">
      <w:pPr>
        <w:keepNext/>
        <w:keepLines/>
        <w:widowControl/>
        <w:ind w:left="450"/>
        <w:jc w:val="both"/>
        <w:rPr>
          <w:rFonts w:ascii="Arial" w:eastAsia="Arial" w:hAnsi="Arial" w:cs="Arial"/>
          <w:b/>
          <w:sz w:val="24"/>
          <w:szCs w:val="24"/>
          <w:lang w:val="en-US"/>
        </w:rPr>
      </w:pPr>
      <w:r w:rsidRPr="00F721C6">
        <w:rPr>
          <w:rFonts w:ascii="Arial" w:eastAsia="Arial" w:hAnsi="Arial" w:cs="Arial"/>
          <w:b/>
          <w:sz w:val="24"/>
          <w:szCs w:val="24"/>
          <w:lang w:val="en-US"/>
        </w:rPr>
        <w:t xml:space="preserve">Calculation of Bankruptcy Prediction </w:t>
      </w:r>
      <w:proofErr w:type="spellStart"/>
      <w:r w:rsidRPr="00F721C6">
        <w:rPr>
          <w:rFonts w:ascii="Arial" w:eastAsia="Arial" w:hAnsi="Arial" w:cs="Arial"/>
          <w:b/>
          <w:sz w:val="24"/>
          <w:szCs w:val="24"/>
          <w:lang w:val="en-US"/>
        </w:rPr>
        <w:t>Zmijewski</w:t>
      </w:r>
      <w:proofErr w:type="spellEnd"/>
      <w:r w:rsidRPr="00F721C6">
        <w:rPr>
          <w:rFonts w:ascii="Arial" w:eastAsia="Arial" w:hAnsi="Arial" w:cs="Arial"/>
          <w:b/>
          <w:sz w:val="24"/>
          <w:szCs w:val="24"/>
          <w:lang w:val="en-US"/>
        </w:rPr>
        <w:t xml:space="preserve"> Method</w:t>
      </w:r>
    </w:p>
    <w:p w:rsidR="00F47D48" w:rsidRDefault="00F721C6">
      <w:pPr>
        <w:keepNext/>
        <w:keepLines/>
        <w:widowControl/>
        <w:ind w:left="426" w:firstLine="567"/>
        <w:jc w:val="both"/>
        <w:rPr>
          <w:rFonts w:ascii="Arial" w:eastAsia="Arial" w:hAnsi="Arial" w:cs="Arial"/>
          <w:sz w:val="24"/>
          <w:szCs w:val="24"/>
          <w:lang w:val="en-US"/>
        </w:rPr>
      </w:pPr>
      <w:r w:rsidRPr="00F721C6">
        <w:rPr>
          <w:rFonts w:ascii="Arial" w:eastAsia="Arial" w:hAnsi="Arial" w:cs="Arial"/>
          <w:sz w:val="24"/>
          <w:szCs w:val="24"/>
          <w:lang w:val="en-US"/>
        </w:rPr>
        <w:t xml:space="preserve">The use of </w:t>
      </w:r>
      <w:proofErr w:type="spellStart"/>
      <w:r w:rsidRPr="00F721C6">
        <w:rPr>
          <w:rFonts w:ascii="Arial" w:eastAsia="Arial" w:hAnsi="Arial" w:cs="Arial"/>
          <w:sz w:val="24"/>
          <w:szCs w:val="24"/>
          <w:lang w:val="en-US"/>
        </w:rPr>
        <w:t>springate</w:t>
      </w:r>
      <w:proofErr w:type="spellEnd"/>
      <w:r w:rsidRPr="00F721C6">
        <w:rPr>
          <w:rFonts w:ascii="Arial" w:eastAsia="Arial" w:hAnsi="Arial" w:cs="Arial"/>
          <w:sz w:val="24"/>
          <w:szCs w:val="24"/>
          <w:lang w:val="en-US"/>
        </w:rPr>
        <w:t xml:space="preserve"> method analysis in 2019 there is 1 company that has the potential to experience bankruptcy. Meanwhile, in the healthy category with a value of &lt; 0.862, there are 44 companies. In 2020, there are 8 companies that have the potential to go bankrupt. Meanwhile, in the healthy category with a value of &lt; 0.862, there are 37 companies. Throughout 2021, there are 9 companies that have the potential to experience bankruptcy. Meanwhile, in the healthy category with a value of &lt; 0.862, there are 36 companies.</w:t>
      </w:r>
    </w:p>
    <w:p w:rsidR="00F721C6" w:rsidRPr="00F721C6" w:rsidRDefault="00F721C6" w:rsidP="00F721C6">
      <w:pPr>
        <w:keepNext/>
        <w:keepLines/>
        <w:widowControl/>
        <w:ind w:left="450"/>
        <w:jc w:val="both"/>
        <w:rPr>
          <w:rFonts w:ascii="Arial" w:eastAsia="Arial" w:hAnsi="Arial" w:cs="Arial"/>
          <w:b/>
          <w:sz w:val="24"/>
          <w:szCs w:val="24"/>
        </w:rPr>
      </w:pPr>
      <w:r w:rsidRPr="00F721C6">
        <w:rPr>
          <w:rFonts w:ascii="Arial" w:eastAsia="Arial" w:hAnsi="Arial" w:cs="Arial"/>
          <w:b/>
          <w:sz w:val="24"/>
          <w:szCs w:val="24"/>
        </w:rPr>
        <w:t>Kruskal Wallis Requirement Test s</w:t>
      </w:r>
    </w:p>
    <w:p w:rsidR="00F721C6" w:rsidRPr="00F721C6" w:rsidRDefault="00F721C6" w:rsidP="00F721C6">
      <w:pPr>
        <w:keepNext/>
        <w:keepLines/>
        <w:widowControl/>
        <w:ind w:left="450"/>
        <w:jc w:val="both"/>
        <w:rPr>
          <w:rFonts w:ascii="Arial" w:eastAsia="Arial" w:hAnsi="Arial" w:cs="Arial"/>
          <w:b/>
          <w:sz w:val="24"/>
          <w:szCs w:val="24"/>
        </w:rPr>
      </w:pPr>
      <w:r w:rsidRPr="00F721C6">
        <w:rPr>
          <w:rFonts w:ascii="Arial" w:eastAsia="Arial" w:hAnsi="Arial" w:cs="Arial"/>
          <w:b/>
          <w:sz w:val="24"/>
          <w:szCs w:val="24"/>
        </w:rPr>
        <w:t>Normality Test</w:t>
      </w:r>
    </w:p>
    <w:tbl>
      <w:tblPr>
        <w:tblW w:w="76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3"/>
        <w:gridCol w:w="1520"/>
        <w:gridCol w:w="1374"/>
        <w:gridCol w:w="1374"/>
        <w:gridCol w:w="1214"/>
      </w:tblGrid>
      <w:tr w:rsidR="00F721C6" w:rsidRPr="00350D99" w:rsidTr="00F721C6">
        <w:trPr>
          <w:cantSplit/>
          <w:trHeight w:val="441"/>
          <w:jc w:val="center"/>
        </w:trPr>
        <w:tc>
          <w:tcPr>
            <w:tcW w:w="7605" w:type="dxa"/>
            <w:gridSpan w:val="5"/>
            <w:tcBorders>
              <w:top w:val="nil"/>
              <w:left w:val="nil"/>
              <w:bottom w:val="nil"/>
              <w:right w:val="nil"/>
            </w:tcBorders>
            <w:shd w:val="clear" w:color="auto" w:fill="FFFFFF"/>
            <w:vAlign w:val="center"/>
            <w:hideMark/>
          </w:tcPr>
          <w:p w:rsidR="00F721C6" w:rsidRPr="00350D99" w:rsidRDefault="00F721C6" w:rsidP="008E09FB">
            <w:pPr>
              <w:autoSpaceDE w:val="0"/>
              <w:autoSpaceDN w:val="0"/>
              <w:adjustRightInd w:val="0"/>
              <w:ind w:left="60" w:right="60"/>
              <w:jc w:val="center"/>
              <w:rPr>
                <w:rFonts w:cs="Times New Roman"/>
                <w:color w:val="010205"/>
                <w:sz w:val="20"/>
                <w:szCs w:val="20"/>
              </w:rPr>
            </w:pPr>
            <w:r w:rsidRPr="00350D99">
              <w:rPr>
                <w:rFonts w:cs="Times New Roman"/>
                <w:b/>
                <w:bCs/>
                <w:color w:val="010205"/>
                <w:sz w:val="20"/>
                <w:szCs w:val="20"/>
              </w:rPr>
              <w:t>One-Sample Kolmogorov-Smirnov Test</w:t>
            </w:r>
          </w:p>
        </w:tc>
      </w:tr>
      <w:tr w:rsidR="00F721C6" w:rsidRPr="00350D99" w:rsidTr="00F721C6">
        <w:trPr>
          <w:cantSplit/>
          <w:trHeight w:val="481"/>
          <w:jc w:val="center"/>
        </w:trPr>
        <w:tc>
          <w:tcPr>
            <w:tcW w:w="3643" w:type="dxa"/>
            <w:gridSpan w:val="2"/>
            <w:tcBorders>
              <w:top w:val="nil"/>
              <w:left w:val="nil"/>
              <w:bottom w:val="single" w:sz="8" w:space="0" w:color="152935"/>
              <w:right w:val="nil"/>
            </w:tcBorders>
            <w:shd w:val="clear" w:color="auto" w:fill="FFFFFF"/>
            <w:vAlign w:val="bottom"/>
          </w:tcPr>
          <w:p w:rsidR="00F721C6" w:rsidRPr="00350D99" w:rsidRDefault="00F721C6" w:rsidP="008E09FB">
            <w:pPr>
              <w:autoSpaceDE w:val="0"/>
              <w:autoSpaceDN w:val="0"/>
              <w:adjustRightInd w:val="0"/>
              <w:rPr>
                <w:rFonts w:cs="Times New Roman"/>
                <w:sz w:val="20"/>
                <w:szCs w:val="20"/>
              </w:rPr>
            </w:pPr>
          </w:p>
        </w:tc>
        <w:tc>
          <w:tcPr>
            <w:tcW w:w="1374" w:type="dxa"/>
            <w:tcBorders>
              <w:top w:val="nil"/>
              <w:left w:val="nil"/>
              <w:bottom w:val="single" w:sz="8" w:space="0" w:color="152935"/>
              <w:right w:val="single" w:sz="8" w:space="0" w:color="E0E0E0"/>
            </w:tcBorders>
            <w:shd w:val="clear" w:color="auto" w:fill="FFFFFF"/>
            <w:vAlign w:val="bottom"/>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Altman</w:t>
            </w:r>
          </w:p>
        </w:tc>
        <w:tc>
          <w:tcPr>
            <w:tcW w:w="1374" w:type="dxa"/>
            <w:tcBorders>
              <w:top w:val="nil"/>
              <w:left w:val="single" w:sz="8" w:space="0" w:color="E0E0E0"/>
              <w:bottom w:val="single" w:sz="8" w:space="0" w:color="152935"/>
              <w:right w:val="single" w:sz="8" w:space="0" w:color="E0E0E0"/>
            </w:tcBorders>
            <w:shd w:val="clear" w:color="auto" w:fill="FFFFFF"/>
            <w:vAlign w:val="bottom"/>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Springate</w:t>
            </w:r>
          </w:p>
        </w:tc>
        <w:tc>
          <w:tcPr>
            <w:tcW w:w="1212" w:type="dxa"/>
            <w:tcBorders>
              <w:top w:val="nil"/>
              <w:left w:val="single" w:sz="8" w:space="0" w:color="E0E0E0"/>
              <w:bottom w:val="single" w:sz="8" w:space="0" w:color="152935"/>
              <w:right w:val="nil"/>
            </w:tcBorders>
            <w:shd w:val="clear" w:color="auto" w:fill="FFFFFF"/>
            <w:vAlign w:val="bottom"/>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Zmijewski</w:t>
            </w:r>
          </w:p>
        </w:tc>
      </w:tr>
      <w:tr w:rsidR="00F721C6" w:rsidRPr="00350D99" w:rsidTr="00F721C6">
        <w:trPr>
          <w:cantSplit/>
          <w:trHeight w:val="381"/>
          <w:jc w:val="center"/>
        </w:trPr>
        <w:tc>
          <w:tcPr>
            <w:tcW w:w="3643" w:type="dxa"/>
            <w:gridSpan w:val="2"/>
            <w:tcBorders>
              <w:top w:val="single" w:sz="8" w:space="0" w:color="152935"/>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N</w:t>
            </w:r>
          </w:p>
        </w:tc>
        <w:tc>
          <w:tcPr>
            <w:tcW w:w="1374" w:type="dxa"/>
            <w:tcBorders>
              <w:top w:val="single" w:sz="8" w:space="0" w:color="152935"/>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135</w:t>
            </w:r>
          </w:p>
        </w:tc>
        <w:tc>
          <w:tcPr>
            <w:tcW w:w="1374" w:type="dxa"/>
            <w:tcBorders>
              <w:top w:val="single" w:sz="8" w:space="0" w:color="152935"/>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135</w:t>
            </w:r>
          </w:p>
        </w:tc>
        <w:tc>
          <w:tcPr>
            <w:tcW w:w="1212" w:type="dxa"/>
            <w:tcBorders>
              <w:top w:val="single" w:sz="8" w:space="0" w:color="152935"/>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135</w:t>
            </w:r>
          </w:p>
        </w:tc>
      </w:tr>
      <w:tr w:rsidR="00F721C6" w:rsidRPr="00350D99" w:rsidTr="00F721C6">
        <w:trPr>
          <w:cantSplit/>
          <w:trHeight w:val="362"/>
          <w:jc w:val="center"/>
        </w:trPr>
        <w:tc>
          <w:tcPr>
            <w:tcW w:w="2123" w:type="dxa"/>
            <w:vMerge w:val="restart"/>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Normal Parameters</w:t>
            </w:r>
            <w:r w:rsidRPr="00350D99">
              <w:rPr>
                <w:rFonts w:cs="Times New Roman"/>
                <w:color w:val="264A60"/>
                <w:sz w:val="20"/>
                <w:szCs w:val="20"/>
                <w:vertAlign w:val="superscript"/>
              </w:rPr>
              <w:t>a,b</w:t>
            </w:r>
          </w:p>
        </w:tc>
        <w:tc>
          <w:tcPr>
            <w:tcW w:w="1519" w:type="dxa"/>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Mean</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232.6698</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91.6620</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-1.8653</w:t>
            </w:r>
          </w:p>
        </w:tc>
      </w:tr>
      <w:tr w:rsidR="00F721C6" w:rsidRPr="00350D99" w:rsidTr="00F721C6">
        <w:trPr>
          <w:cantSplit/>
          <w:trHeight w:val="168"/>
          <w:jc w:val="center"/>
        </w:trPr>
        <w:tc>
          <w:tcPr>
            <w:tcW w:w="7605" w:type="dxa"/>
            <w:vMerge/>
            <w:tcBorders>
              <w:top w:val="single" w:sz="8" w:space="0" w:color="AEAEAE"/>
              <w:left w:val="nil"/>
              <w:bottom w:val="single" w:sz="8" w:space="0" w:color="AEAEAE"/>
              <w:right w:val="nil"/>
            </w:tcBorders>
            <w:vAlign w:val="center"/>
            <w:hideMark/>
          </w:tcPr>
          <w:p w:rsidR="00F721C6" w:rsidRPr="00350D99" w:rsidRDefault="00F721C6" w:rsidP="008E09FB">
            <w:pPr>
              <w:rPr>
                <w:rFonts w:cs="Times New Roman"/>
                <w:color w:val="264A60"/>
                <w:sz w:val="20"/>
                <w:szCs w:val="20"/>
              </w:rPr>
            </w:pPr>
          </w:p>
        </w:tc>
        <w:tc>
          <w:tcPr>
            <w:tcW w:w="1519" w:type="dxa"/>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Std. Deviation</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2652.42972</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1061.06120</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3.21105</w:t>
            </w:r>
          </w:p>
        </w:tc>
      </w:tr>
      <w:tr w:rsidR="00F721C6" w:rsidRPr="00350D99" w:rsidTr="00F721C6">
        <w:trPr>
          <w:cantSplit/>
          <w:trHeight w:val="362"/>
          <w:jc w:val="center"/>
        </w:trPr>
        <w:tc>
          <w:tcPr>
            <w:tcW w:w="2123" w:type="dxa"/>
            <w:vMerge w:val="restart"/>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Most Extreme Differences</w:t>
            </w:r>
          </w:p>
        </w:tc>
        <w:tc>
          <w:tcPr>
            <w:tcW w:w="1519" w:type="dxa"/>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Absolute</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.515</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.526</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.230</w:t>
            </w:r>
          </w:p>
        </w:tc>
      </w:tr>
      <w:tr w:rsidR="00F721C6" w:rsidRPr="00350D99" w:rsidTr="00F721C6">
        <w:trPr>
          <w:cantSplit/>
          <w:trHeight w:val="168"/>
          <w:jc w:val="center"/>
        </w:trPr>
        <w:tc>
          <w:tcPr>
            <w:tcW w:w="7605" w:type="dxa"/>
            <w:vMerge/>
            <w:tcBorders>
              <w:top w:val="single" w:sz="8" w:space="0" w:color="AEAEAE"/>
              <w:left w:val="nil"/>
              <w:bottom w:val="single" w:sz="8" w:space="0" w:color="AEAEAE"/>
              <w:right w:val="nil"/>
            </w:tcBorders>
            <w:vAlign w:val="center"/>
            <w:hideMark/>
          </w:tcPr>
          <w:p w:rsidR="00F721C6" w:rsidRPr="00350D99" w:rsidRDefault="00F721C6" w:rsidP="008E09FB">
            <w:pPr>
              <w:rPr>
                <w:rFonts w:cs="Times New Roman"/>
                <w:color w:val="264A60"/>
                <w:sz w:val="20"/>
                <w:szCs w:val="20"/>
              </w:rPr>
            </w:pPr>
          </w:p>
        </w:tc>
        <w:tc>
          <w:tcPr>
            <w:tcW w:w="1519" w:type="dxa"/>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Positive</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.515</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.526</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.203</w:t>
            </w:r>
          </w:p>
        </w:tc>
      </w:tr>
      <w:tr w:rsidR="00F721C6" w:rsidRPr="00350D99" w:rsidTr="00F721C6">
        <w:trPr>
          <w:cantSplit/>
          <w:trHeight w:val="168"/>
          <w:jc w:val="center"/>
        </w:trPr>
        <w:tc>
          <w:tcPr>
            <w:tcW w:w="7605" w:type="dxa"/>
            <w:vMerge/>
            <w:tcBorders>
              <w:top w:val="single" w:sz="8" w:space="0" w:color="AEAEAE"/>
              <w:left w:val="nil"/>
              <w:bottom w:val="single" w:sz="8" w:space="0" w:color="AEAEAE"/>
              <w:right w:val="nil"/>
            </w:tcBorders>
            <w:vAlign w:val="center"/>
            <w:hideMark/>
          </w:tcPr>
          <w:p w:rsidR="00F721C6" w:rsidRPr="00350D99" w:rsidRDefault="00F721C6" w:rsidP="008E09FB">
            <w:pPr>
              <w:rPr>
                <w:rFonts w:cs="Times New Roman"/>
                <w:color w:val="264A60"/>
                <w:sz w:val="20"/>
                <w:szCs w:val="20"/>
              </w:rPr>
            </w:pPr>
          </w:p>
        </w:tc>
        <w:tc>
          <w:tcPr>
            <w:tcW w:w="1519" w:type="dxa"/>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Negative</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-.465</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-.464</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-.230</w:t>
            </w:r>
          </w:p>
        </w:tc>
      </w:tr>
      <w:tr w:rsidR="00F721C6" w:rsidRPr="00350D99" w:rsidTr="00F721C6">
        <w:trPr>
          <w:cantSplit/>
          <w:trHeight w:val="362"/>
          <w:jc w:val="center"/>
        </w:trPr>
        <w:tc>
          <w:tcPr>
            <w:tcW w:w="3643" w:type="dxa"/>
            <w:gridSpan w:val="2"/>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Test Statistic</w:t>
            </w:r>
          </w:p>
        </w:tc>
        <w:tc>
          <w:tcPr>
            <w:tcW w:w="1374"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.515</w:t>
            </w:r>
          </w:p>
        </w:tc>
        <w:tc>
          <w:tcPr>
            <w:tcW w:w="1374" w:type="dxa"/>
            <w:tcBorders>
              <w:top w:val="single" w:sz="8" w:space="0" w:color="AEAEAE"/>
              <w:left w:val="single" w:sz="8" w:space="0" w:color="E0E0E0"/>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.526</w:t>
            </w:r>
          </w:p>
        </w:tc>
        <w:tc>
          <w:tcPr>
            <w:tcW w:w="1212" w:type="dxa"/>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.230</w:t>
            </w:r>
          </w:p>
        </w:tc>
      </w:tr>
      <w:tr w:rsidR="00F721C6" w:rsidRPr="00350D99" w:rsidTr="00F721C6">
        <w:trPr>
          <w:cantSplit/>
          <w:trHeight w:val="381"/>
          <w:jc w:val="center"/>
        </w:trPr>
        <w:tc>
          <w:tcPr>
            <w:tcW w:w="3643" w:type="dxa"/>
            <w:gridSpan w:val="2"/>
            <w:tcBorders>
              <w:top w:val="single" w:sz="8" w:space="0" w:color="AEAEAE"/>
              <w:left w:val="nil"/>
              <w:bottom w:val="single" w:sz="8" w:space="0" w:color="152935"/>
              <w:right w:val="nil"/>
            </w:tcBorders>
            <w:shd w:val="clear" w:color="auto" w:fill="E0E0E0"/>
            <w:hideMark/>
          </w:tcPr>
          <w:p w:rsidR="00F721C6" w:rsidRPr="00350D99" w:rsidRDefault="00F721C6" w:rsidP="008E09FB">
            <w:pPr>
              <w:autoSpaceDE w:val="0"/>
              <w:autoSpaceDN w:val="0"/>
              <w:adjustRightInd w:val="0"/>
              <w:ind w:left="60" w:right="60"/>
              <w:rPr>
                <w:rFonts w:cs="Times New Roman"/>
                <w:color w:val="264A60"/>
                <w:sz w:val="20"/>
                <w:szCs w:val="20"/>
              </w:rPr>
            </w:pPr>
            <w:r w:rsidRPr="00350D99">
              <w:rPr>
                <w:rFonts w:cs="Times New Roman"/>
                <w:color w:val="264A60"/>
                <w:sz w:val="20"/>
                <w:szCs w:val="20"/>
              </w:rPr>
              <w:t>Asymp. Sig. (2-tailed)</w:t>
            </w:r>
          </w:p>
        </w:tc>
        <w:tc>
          <w:tcPr>
            <w:tcW w:w="1374" w:type="dxa"/>
            <w:tcBorders>
              <w:top w:val="single" w:sz="8" w:space="0" w:color="AEAEAE"/>
              <w:left w:val="nil"/>
              <w:bottom w:val="single" w:sz="8" w:space="0" w:color="152935"/>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.000</w:t>
            </w:r>
            <w:r w:rsidRPr="00350D99">
              <w:rPr>
                <w:rFonts w:cs="Times New Roman"/>
                <w:color w:val="010205"/>
                <w:sz w:val="20"/>
                <w:szCs w:val="20"/>
                <w:vertAlign w:val="superscript"/>
              </w:rPr>
              <w:t>c</w:t>
            </w:r>
          </w:p>
        </w:tc>
        <w:tc>
          <w:tcPr>
            <w:tcW w:w="1374" w:type="dxa"/>
            <w:tcBorders>
              <w:top w:val="single" w:sz="8" w:space="0" w:color="AEAEAE"/>
              <w:left w:val="single" w:sz="8" w:space="0" w:color="E0E0E0"/>
              <w:bottom w:val="single" w:sz="8" w:space="0" w:color="152935"/>
              <w:right w:val="single" w:sz="8" w:space="0" w:color="E0E0E0"/>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.000</w:t>
            </w:r>
            <w:r w:rsidRPr="00350D99">
              <w:rPr>
                <w:rFonts w:cs="Times New Roman"/>
                <w:color w:val="010205"/>
                <w:sz w:val="20"/>
                <w:szCs w:val="20"/>
                <w:vertAlign w:val="superscript"/>
              </w:rPr>
              <w:t>c</w:t>
            </w:r>
          </w:p>
        </w:tc>
        <w:tc>
          <w:tcPr>
            <w:tcW w:w="1212" w:type="dxa"/>
            <w:tcBorders>
              <w:top w:val="single" w:sz="8" w:space="0" w:color="AEAEAE"/>
              <w:left w:val="single" w:sz="8" w:space="0" w:color="E0E0E0"/>
              <w:bottom w:val="single" w:sz="8" w:space="0" w:color="152935"/>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.000</w:t>
            </w:r>
            <w:r w:rsidRPr="00350D99">
              <w:rPr>
                <w:rFonts w:cs="Times New Roman"/>
                <w:color w:val="010205"/>
                <w:sz w:val="20"/>
                <w:szCs w:val="20"/>
                <w:vertAlign w:val="superscript"/>
              </w:rPr>
              <w:t>c</w:t>
            </w:r>
          </w:p>
        </w:tc>
      </w:tr>
      <w:tr w:rsidR="00F721C6" w:rsidRPr="00350D99" w:rsidTr="00F721C6">
        <w:trPr>
          <w:cantSplit/>
          <w:trHeight w:val="362"/>
          <w:jc w:val="center"/>
        </w:trPr>
        <w:tc>
          <w:tcPr>
            <w:tcW w:w="7605" w:type="dxa"/>
            <w:gridSpan w:val="5"/>
            <w:tcBorders>
              <w:top w:val="nil"/>
              <w:left w:val="nil"/>
              <w:bottom w:val="nil"/>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a. Test distribution is Normal.</w:t>
            </w:r>
          </w:p>
        </w:tc>
      </w:tr>
      <w:tr w:rsidR="00F721C6" w:rsidRPr="00350D99" w:rsidTr="00F721C6">
        <w:trPr>
          <w:cantSplit/>
          <w:trHeight w:val="362"/>
          <w:jc w:val="center"/>
        </w:trPr>
        <w:tc>
          <w:tcPr>
            <w:tcW w:w="7605" w:type="dxa"/>
            <w:gridSpan w:val="5"/>
            <w:tcBorders>
              <w:top w:val="nil"/>
              <w:left w:val="nil"/>
              <w:bottom w:val="nil"/>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b. Calculated from data.</w:t>
            </w:r>
          </w:p>
        </w:tc>
      </w:tr>
      <w:tr w:rsidR="00F721C6" w:rsidRPr="00350D99" w:rsidTr="00F721C6">
        <w:trPr>
          <w:cantSplit/>
          <w:trHeight w:val="104"/>
          <w:jc w:val="center"/>
        </w:trPr>
        <w:tc>
          <w:tcPr>
            <w:tcW w:w="7605" w:type="dxa"/>
            <w:gridSpan w:val="5"/>
            <w:tcBorders>
              <w:top w:val="nil"/>
              <w:left w:val="nil"/>
              <w:bottom w:val="nil"/>
              <w:right w:val="nil"/>
            </w:tcBorders>
            <w:shd w:val="clear" w:color="auto" w:fill="FFFFFF"/>
            <w:hideMark/>
          </w:tcPr>
          <w:p w:rsidR="00F721C6" w:rsidRPr="00350D99" w:rsidRDefault="00F721C6" w:rsidP="008E09FB">
            <w:pPr>
              <w:autoSpaceDE w:val="0"/>
              <w:autoSpaceDN w:val="0"/>
              <w:adjustRightInd w:val="0"/>
              <w:ind w:left="60" w:right="60"/>
              <w:rPr>
                <w:rFonts w:cs="Times New Roman"/>
                <w:color w:val="010205"/>
                <w:sz w:val="20"/>
                <w:szCs w:val="20"/>
              </w:rPr>
            </w:pPr>
            <w:r w:rsidRPr="00350D99">
              <w:rPr>
                <w:rFonts w:cs="Times New Roman"/>
                <w:color w:val="010205"/>
                <w:sz w:val="20"/>
                <w:szCs w:val="20"/>
              </w:rPr>
              <w:t>c. Lilliefors Significance Correction.</w:t>
            </w:r>
          </w:p>
        </w:tc>
      </w:tr>
    </w:tbl>
    <w:p w:rsidR="00F721C6" w:rsidRDefault="00F721C6" w:rsidP="000C5E32">
      <w:pPr>
        <w:keepNext/>
        <w:keepLines/>
        <w:widowControl/>
        <w:ind w:left="426" w:firstLine="567"/>
        <w:jc w:val="both"/>
        <w:rPr>
          <w:rFonts w:ascii="Arial" w:eastAsia="Arial" w:hAnsi="Arial" w:cs="Arial"/>
          <w:sz w:val="24"/>
          <w:szCs w:val="24"/>
        </w:rPr>
      </w:pPr>
    </w:p>
    <w:p w:rsidR="000C5E32" w:rsidRPr="00F721C6" w:rsidRDefault="00F721C6" w:rsidP="000C5E32">
      <w:pPr>
        <w:keepNext/>
        <w:keepLines/>
        <w:widowControl/>
        <w:ind w:left="426" w:firstLine="567"/>
        <w:jc w:val="both"/>
        <w:rPr>
          <w:rFonts w:ascii="Arial" w:eastAsia="Arial" w:hAnsi="Arial" w:cs="Arial"/>
          <w:sz w:val="24"/>
          <w:szCs w:val="24"/>
          <w:lang w:val="en-US"/>
        </w:rPr>
      </w:pPr>
      <w:r w:rsidRPr="00F721C6">
        <w:rPr>
          <w:rFonts w:ascii="Arial" w:eastAsia="Arial" w:hAnsi="Arial" w:cs="Arial"/>
          <w:sz w:val="24"/>
          <w:szCs w:val="24"/>
        </w:rPr>
        <w:t>The table above illustrates that based on the results of data normality tests on real estate and property companies, the Sig value of each shows a value of 0.000. Because the value is less than the significant value of the three methods &lt; 0.05, the assumption of normality data is not met, so the hypothesis test used is the Kruskal Wallis Test</w:t>
      </w:r>
      <w:r>
        <w:rPr>
          <w:rFonts w:ascii="Arial" w:eastAsia="Arial" w:hAnsi="Arial" w:cs="Arial"/>
          <w:sz w:val="24"/>
          <w:szCs w:val="24"/>
          <w:lang w:val="en-US"/>
        </w:rPr>
        <w:t>.</w:t>
      </w:r>
    </w:p>
    <w:p w:rsidR="000C5E32" w:rsidRDefault="000C5E32" w:rsidP="000C5E32">
      <w:pPr>
        <w:widowControl/>
        <w:jc w:val="both"/>
        <w:rPr>
          <w:rFonts w:ascii="Arial" w:eastAsia="Arial" w:hAnsi="Arial" w:cs="Arial"/>
          <w:sz w:val="24"/>
          <w:szCs w:val="24"/>
        </w:rPr>
      </w:pPr>
    </w:p>
    <w:p w:rsidR="000C5E32" w:rsidRPr="000C5E32" w:rsidRDefault="00F721C6" w:rsidP="000C5E32">
      <w:pPr>
        <w:widowControl/>
        <w:ind w:left="450"/>
        <w:jc w:val="both"/>
        <w:rPr>
          <w:rFonts w:ascii="Arial" w:eastAsia="Arial" w:hAnsi="Arial" w:cs="Arial"/>
          <w:b/>
          <w:sz w:val="24"/>
          <w:szCs w:val="24"/>
          <w:lang w:val="en-US"/>
        </w:rPr>
      </w:pPr>
      <w:r w:rsidRPr="00F721C6">
        <w:rPr>
          <w:rFonts w:ascii="Arial" w:eastAsia="Arial" w:hAnsi="Arial" w:cs="Arial"/>
          <w:b/>
          <w:sz w:val="24"/>
          <w:szCs w:val="24"/>
        </w:rPr>
        <w:t>Test the hypothesis</w:t>
      </w:r>
    </w:p>
    <w:p w:rsidR="00F47D48" w:rsidRDefault="00F721C6" w:rsidP="000C5E32">
      <w:pPr>
        <w:widowControl/>
        <w:ind w:left="426" w:firstLine="567"/>
        <w:jc w:val="both"/>
        <w:rPr>
          <w:rFonts w:ascii="Arial" w:eastAsia="Arial" w:hAnsi="Arial" w:cs="Arial"/>
          <w:sz w:val="24"/>
          <w:szCs w:val="24"/>
        </w:rPr>
      </w:pPr>
      <w:r w:rsidRPr="00F721C6">
        <w:rPr>
          <w:rFonts w:ascii="Arial" w:eastAsia="Arial" w:hAnsi="Arial" w:cs="Arial"/>
          <w:sz w:val="24"/>
          <w:szCs w:val="24"/>
        </w:rPr>
        <w:t>H1 : There are differences in the bankruptcy prediction models of Altman, Springate and Zmijewski in real estate and property companies listed on the Indonesia Stock Exchange</w:t>
      </w:r>
    </w:p>
    <w:tbl>
      <w:tblPr>
        <w:tblW w:w="7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60"/>
        <w:gridCol w:w="30"/>
        <w:gridCol w:w="2177"/>
        <w:gridCol w:w="102"/>
        <w:gridCol w:w="1546"/>
        <w:gridCol w:w="585"/>
        <w:gridCol w:w="1290"/>
      </w:tblGrid>
      <w:tr w:rsidR="00F721C6" w:rsidRPr="00350D99" w:rsidTr="00F721C6">
        <w:trPr>
          <w:cantSplit/>
          <w:trHeight w:val="442"/>
          <w:jc w:val="center"/>
        </w:trPr>
        <w:tc>
          <w:tcPr>
            <w:tcW w:w="7590" w:type="dxa"/>
            <w:gridSpan w:val="7"/>
            <w:tcBorders>
              <w:top w:val="nil"/>
              <w:left w:val="nil"/>
              <w:bottom w:val="nil"/>
              <w:right w:val="nil"/>
            </w:tcBorders>
            <w:shd w:val="clear" w:color="auto" w:fill="FFFFFF"/>
            <w:vAlign w:val="center"/>
            <w:hideMark/>
          </w:tcPr>
          <w:p w:rsidR="00F721C6" w:rsidRPr="00350D99" w:rsidRDefault="00F721C6" w:rsidP="008E09FB">
            <w:pPr>
              <w:autoSpaceDE w:val="0"/>
              <w:autoSpaceDN w:val="0"/>
              <w:adjustRightInd w:val="0"/>
              <w:ind w:left="60" w:right="60"/>
              <w:jc w:val="center"/>
              <w:rPr>
                <w:rFonts w:cs="Times New Roman"/>
                <w:color w:val="010205"/>
                <w:sz w:val="20"/>
                <w:szCs w:val="20"/>
              </w:rPr>
            </w:pPr>
            <w:r w:rsidRPr="00350D99">
              <w:rPr>
                <w:rFonts w:cs="Times New Roman"/>
                <w:b/>
                <w:bCs/>
                <w:color w:val="010205"/>
                <w:sz w:val="20"/>
                <w:szCs w:val="20"/>
              </w:rPr>
              <w:lastRenderedPageBreak/>
              <w:t>Ranks</w:t>
            </w:r>
          </w:p>
        </w:tc>
      </w:tr>
      <w:tr w:rsidR="00F721C6" w:rsidRPr="00350D99" w:rsidTr="00F721C6">
        <w:trPr>
          <w:cantSplit/>
          <w:trHeight w:val="753"/>
          <w:jc w:val="center"/>
        </w:trPr>
        <w:tc>
          <w:tcPr>
            <w:tcW w:w="1860" w:type="dxa"/>
            <w:tcBorders>
              <w:top w:val="single" w:sz="8" w:space="0" w:color="FFFFFF"/>
              <w:left w:val="single" w:sz="8" w:space="0" w:color="FFFFFF"/>
              <w:bottom w:val="single" w:sz="8" w:space="0" w:color="FFFFFF"/>
              <w:right w:val="single" w:sz="8" w:space="0" w:color="FFFFFF"/>
            </w:tcBorders>
          </w:tcPr>
          <w:p w:rsidR="00F721C6" w:rsidRPr="00350D99" w:rsidRDefault="00F721C6" w:rsidP="008E09FB">
            <w:pPr>
              <w:autoSpaceDE w:val="0"/>
              <w:autoSpaceDN w:val="0"/>
              <w:adjustRightInd w:val="0"/>
              <w:ind w:left="426"/>
              <w:rPr>
                <w:rFonts w:cs="Times New Roman"/>
                <w:color w:val="010205"/>
                <w:sz w:val="20"/>
                <w:szCs w:val="20"/>
              </w:rPr>
            </w:pPr>
          </w:p>
        </w:tc>
        <w:tc>
          <w:tcPr>
            <w:tcW w:w="2309" w:type="dxa"/>
            <w:gridSpan w:val="3"/>
            <w:tcBorders>
              <w:top w:val="nil"/>
              <w:left w:val="single" w:sz="8" w:space="0" w:color="FFFFFF"/>
              <w:bottom w:val="single" w:sz="8" w:space="0" w:color="152935"/>
              <w:right w:val="nil"/>
            </w:tcBorders>
            <w:shd w:val="clear" w:color="auto" w:fill="FFFFFF"/>
            <w:vAlign w:val="bottom"/>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Model Prediksi</w:t>
            </w:r>
          </w:p>
        </w:tc>
        <w:tc>
          <w:tcPr>
            <w:tcW w:w="1546" w:type="dxa"/>
            <w:tcBorders>
              <w:top w:val="nil"/>
              <w:left w:val="nil"/>
              <w:bottom w:val="single" w:sz="8" w:space="0" w:color="152935"/>
              <w:right w:val="single" w:sz="8" w:space="0" w:color="E0E0E0"/>
            </w:tcBorders>
            <w:shd w:val="clear" w:color="auto" w:fill="FFFFFF"/>
            <w:vAlign w:val="bottom"/>
            <w:hideMark/>
          </w:tcPr>
          <w:p w:rsidR="00F721C6" w:rsidRPr="00350D99" w:rsidRDefault="00F721C6" w:rsidP="008E09FB">
            <w:pPr>
              <w:autoSpaceDE w:val="0"/>
              <w:autoSpaceDN w:val="0"/>
              <w:adjustRightInd w:val="0"/>
              <w:ind w:left="426" w:right="60"/>
              <w:jc w:val="center"/>
              <w:rPr>
                <w:rFonts w:cs="Times New Roman"/>
                <w:color w:val="264A60"/>
                <w:sz w:val="20"/>
                <w:szCs w:val="20"/>
              </w:rPr>
            </w:pPr>
            <w:r w:rsidRPr="00350D99">
              <w:rPr>
                <w:rFonts w:cs="Times New Roman"/>
                <w:color w:val="264A60"/>
                <w:sz w:val="20"/>
                <w:szCs w:val="20"/>
              </w:rPr>
              <w:t>N</w:t>
            </w:r>
          </w:p>
        </w:tc>
        <w:tc>
          <w:tcPr>
            <w:tcW w:w="1875" w:type="dxa"/>
            <w:gridSpan w:val="2"/>
            <w:tcBorders>
              <w:top w:val="nil"/>
              <w:left w:val="single" w:sz="8" w:space="0" w:color="E0E0E0"/>
              <w:bottom w:val="single" w:sz="8" w:space="0" w:color="152935"/>
              <w:right w:val="nil"/>
            </w:tcBorders>
            <w:shd w:val="clear" w:color="auto" w:fill="FFFFFF"/>
            <w:vAlign w:val="bottom"/>
            <w:hideMark/>
          </w:tcPr>
          <w:p w:rsidR="00F721C6" w:rsidRPr="00350D99" w:rsidRDefault="00F721C6" w:rsidP="008E09FB">
            <w:pPr>
              <w:autoSpaceDE w:val="0"/>
              <w:autoSpaceDN w:val="0"/>
              <w:adjustRightInd w:val="0"/>
              <w:ind w:left="426" w:right="60"/>
              <w:jc w:val="center"/>
              <w:rPr>
                <w:rFonts w:cs="Times New Roman"/>
                <w:color w:val="264A60"/>
                <w:sz w:val="20"/>
                <w:szCs w:val="20"/>
              </w:rPr>
            </w:pPr>
            <w:r w:rsidRPr="00350D99">
              <w:rPr>
                <w:rFonts w:cs="Times New Roman"/>
                <w:color w:val="264A60"/>
                <w:sz w:val="20"/>
                <w:szCs w:val="20"/>
              </w:rPr>
              <w:t>Mean Rank</w:t>
            </w:r>
          </w:p>
        </w:tc>
      </w:tr>
      <w:tr w:rsidR="00F721C6" w:rsidRPr="00350D99" w:rsidTr="00F721C6">
        <w:trPr>
          <w:cantSplit/>
          <w:trHeight w:val="376"/>
          <w:jc w:val="center"/>
        </w:trPr>
        <w:tc>
          <w:tcPr>
            <w:tcW w:w="1860" w:type="dxa"/>
            <w:vMerge w:val="restart"/>
            <w:tcBorders>
              <w:top w:val="single" w:sz="8" w:space="0" w:color="FFFFFF"/>
              <w:left w:val="nil"/>
              <w:bottom w:val="single" w:sz="8" w:space="0" w:color="152935"/>
              <w:right w:val="nil"/>
            </w:tcBorders>
            <w:shd w:val="clear" w:color="auto" w:fill="E0E0E0"/>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Score Prediksi</w:t>
            </w:r>
          </w:p>
        </w:tc>
        <w:tc>
          <w:tcPr>
            <w:tcW w:w="2309" w:type="dxa"/>
            <w:gridSpan w:val="3"/>
            <w:tcBorders>
              <w:top w:val="single" w:sz="8" w:space="0" w:color="152935"/>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Altman</w:t>
            </w:r>
          </w:p>
        </w:tc>
        <w:tc>
          <w:tcPr>
            <w:tcW w:w="1546" w:type="dxa"/>
            <w:tcBorders>
              <w:top w:val="single" w:sz="8" w:space="0" w:color="152935"/>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135</w:t>
            </w:r>
          </w:p>
        </w:tc>
        <w:tc>
          <w:tcPr>
            <w:tcW w:w="1875" w:type="dxa"/>
            <w:gridSpan w:val="2"/>
            <w:tcBorders>
              <w:top w:val="single" w:sz="8" w:space="0" w:color="152935"/>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317.70</w:t>
            </w:r>
          </w:p>
        </w:tc>
      </w:tr>
      <w:tr w:rsidR="00F721C6" w:rsidRPr="00350D99" w:rsidTr="00F721C6">
        <w:trPr>
          <w:cantSplit/>
          <w:trHeight w:val="170"/>
          <w:jc w:val="center"/>
        </w:trPr>
        <w:tc>
          <w:tcPr>
            <w:tcW w:w="1860" w:type="dxa"/>
            <w:vMerge/>
            <w:tcBorders>
              <w:top w:val="single" w:sz="8" w:space="0" w:color="FFFFFF"/>
              <w:left w:val="nil"/>
              <w:bottom w:val="single" w:sz="8" w:space="0" w:color="152935"/>
              <w:right w:val="nil"/>
            </w:tcBorders>
            <w:vAlign w:val="center"/>
            <w:hideMark/>
          </w:tcPr>
          <w:p w:rsidR="00F721C6" w:rsidRPr="00350D99" w:rsidRDefault="00F721C6" w:rsidP="008E09FB">
            <w:pPr>
              <w:rPr>
                <w:rFonts w:cs="Times New Roman"/>
                <w:color w:val="264A60"/>
                <w:sz w:val="20"/>
                <w:szCs w:val="20"/>
              </w:rPr>
            </w:pPr>
          </w:p>
        </w:tc>
        <w:tc>
          <w:tcPr>
            <w:tcW w:w="2309" w:type="dxa"/>
            <w:gridSpan w:val="3"/>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Springate</w:t>
            </w:r>
          </w:p>
        </w:tc>
        <w:tc>
          <w:tcPr>
            <w:tcW w:w="1546"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135</w:t>
            </w:r>
          </w:p>
        </w:tc>
        <w:tc>
          <w:tcPr>
            <w:tcW w:w="1875" w:type="dxa"/>
            <w:gridSpan w:val="2"/>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202.23</w:t>
            </w:r>
          </w:p>
        </w:tc>
      </w:tr>
      <w:tr w:rsidR="00F721C6" w:rsidRPr="00350D99" w:rsidTr="00F721C6">
        <w:trPr>
          <w:cantSplit/>
          <w:trHeight w:val="170"/>
          <w:jc w:val="center"/>
        </w:trPr>
        <w:tc>
          <w:tcPr>
            <w:tcW w:w="1860" w:type="dxa"/>
            <w:vMerge/>
            <w:tcBorders>
              <w:top w:val="single" w:sz="8" w:space="0" w:color="FFFFFF"/>
              <w:left w:val="nil"/>
              <w:bottom w:val="single" w:sz="8" w:space="0" w:color="152935"/>
              <w:right w:val="nil"/>
            </w:tcBorders>
            <w:vAlign w:val="center"/>
            <w:hideMark/>
          </w:tcPr>
          <w:p w:rsidR="00F721C6" w:rsidRPr="00350D99" w:rsidRDefault="00F721C6" w:rsidP="008E09FB">
            <w:pPr>
              <w:rPr>
                <w:rFonts w:cs="Times New Roman"/>
                <w:color w:val="264A60"/>
                <w:sz w:val="20"/>
                <w:szCs w:val="20"/>
              </w:rPr>
            </w:pPr>
          </w:p>
        </w:tc>
        <w:tc>
          <w:tcPr>
            <w:tcW w:w="2309" w:type="dxa"/>
            <w:gridSpan w:val="3"/>
            <w:tcBorders>
              <w:top w:val="single" w:sz="8" w:space="0" w:color="AEAEAE"/>
              <w:left w:val="nil"/>
              <w:bottom w:val="single" w:sz="8" w:space="0" w:color="AEAEAE"/>
              <w:right w:val="nil"/>
            </w:tcBorders>
            <w:shd w:val="clear" w:color="auto" w:fill="E0E0E0"/>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Zmijewski</w:t>
            </w:r>
          </w:p>
        </w:tc>
        <w:tc>
          <w:tcPr>
            <w:tcW w:w="1546" w:type="dxa"/>
            <w:tcBorders>
              <w:top w:val="single" w:sz="8" w:space="0" w:color="AEAEAE"/>
              <w:left w:val="nil"/>
              <w:bottom w:val="single" w:sz="8" w:space="0" w:color="AEAEAE"/>
              <w:right w:val="single" w:sz="8" w:space="0" w:color="E0E0E0"/>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135</w:t>
            </w:r>
          </w:p>
        </w:tc>
        <w:tc>
          <w:tcPr>
            <w:tcW w:w="1875" w:type="dxa"/>
            <w:gridSpan w:val="2"/>
            <w:tcBorders>
              <w:top w:val="single" w:sz="8" w:space="0" w:color="AEAEAE"/>
              <w:left w:val="single" w:sz="8" w:space="0" w:color="E0E0E0"/>
              <w:bottom w:val="single" w:sz="8" w:space="0" w:color="AEAEAE"/>
              <w:right w:val="nil"/>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89.07</w:t>
            </w:r>
          </w:p>
        </w:tc>
      </w:tr>
      <w:tr w:rsidR="00F721C6" w:rsidRPr="00350D99" w:rsidTr="00F721C6">
        <w:trPr>
          <w:cantSplit/>
          <w:trHeight w:val="170"/>
          <w:jc w:val="center"/>
        </w:trPr>
        <w:tc>
          <w:tcPr>
            <w:tcW w:w="1860" w:type="dxa"/>
            <w:vMerge/>
            <w:tcBorders>
              <w:top w:val="single" w:sz="8" w:space="0" w:color="FFFFFF"/>
              <w:left w:val="nil"/>
              <w:bottom w:val="single" w:sz="8" w:space="0" w:color="152935"/>
              <w:right w:val="nil"/>
            </w:tcBorders>
            <w:vAlign w:val="center"/>
            <w:hideMark/>
          </w:tcPr>
          <w:p w:rsidR="00F721C6" w:rsidRPr="00350D99" w:rsidRDefault="00F721C6" w:rsidP="008E09FB">
            <w:pPr>
              <w:rPr>
                <w:rFonts w:cs="Times New Roman"/>
                <w:color w:val="264A60"/>
                <w:sz w:val="20"/>
                <w:szCs w:val="20"/>
              </w:rPr>
            </w:pPr>
          </w:p>
        </w:tc>
        <w:tc>
          <w:tcPr>
            <w:tcW w:w="2309" w:type="dxa"/>
            <w:gridSpan w:val="3"/>
            <w:tcBorders>
              <w:top w:val="single" w:sz="8" w:space="0" w:color="AEAEAE"/>
              <w:left w:val="nil"/>
              <w:bottom w:val="single" w:sz="8" w:space="0" w:color="152935"/>
              <w:right w:val="nil"/>
            </w:tcBorders>
            <w:shd w:val="clear" w:color="auto" w:fill="E0E0E0"/>
            <w:hideMark/>
          </w:tcPr>
          <w:p w:rsidR="00F721C6" w:rsidRPr="00350D99" w:rsidRDefault="00F721C6" w:rsidP="008E09FB">
            <w:pPr>
              <w:autoSpaceDE w:val="0"/>
              <w:autoSpaceDN w:val="0"/>
              <w:adjustRightInd w:val="0"/>
              <w:ind w:left="426" w:right="60"/>
              <w:rPr>
                <w:rFonts w:cs="Times New Roman"/>
                <w:color w:val="264A60"/>
                <w:sz w:val="20"/>
                <w:szCs w:val="20"/>
              </w:rPr>
            </w:pPr>
            <w:r w:rsidRPr="00350D99">
              <w:rPr>
                <w:rFonts w:cs="Times New Roman"/>
                <w:color w:val="264A60"/>
                <w:sz w:val="20"/>
                <w:szCs w:val="20"/>
              </w:rPr>
              <w:t>Total</w:t>
            </w:r>
          </w:p>
        </w:tc>
        <w:tc>
          <w:tcPr>
            <w:tcW w:w="1546" w:type="dxa"/>
            <w:tcBorders>
              <w:top w:val="single" w:sz="8" w:space="0" w:color="AEAEAE"/>
              <w:left w:val="nil"/>
              <w:bottom w:val="single" w:sz="8" w:space="0" w:color="152935"/>
              <w:right w:val="single" w:sz="8" w:space="0" w:color="E0E0E0"/>
            </w:tcBorders>
            <w:shd w:val="clear" w:color="auto" w:fill="FFFFFF"/>
            <w:hideMark/>
          </w:tcPr>
          <w:p w:rsidR="00F721C6" w:rsidRPr="00350D99" w:rsidRDefault="00F721C6" w:rsidP="008E09FB">
            <w:pPr>
              <w:autoSpaceDE w:val="0"/>
              <w:autoSpaceDN w:val="0"/>
              <w:adjustRightInd w:val="0"/>
              <w:ind w:left="426" w:right="60"/>
              <w:jc w:val="right"/>
              <w:rPr>
                <w:rFonts w:cs="Times New Roman"/>
                <w:color w:val="010205"/>
                <w:sz w:val="20"/>
                <w:szCs w:val="20"/>
              </w:rPr>
            </w:pPr>
            <w:r w:rsidRPr="00350D99">
              <w:rPr>
                <w:rFonts w:cs="Times New Roman"/>
                <w:color w:val="010205"/>
                <w:sz w:val="20"/>
                <w:szCs w:val="20"/>
              </w:rPr>
              <w:t>405</w:t>
            </w:r>
          </w:p>
        </w:tc>
        <w:tc>
          <w:tcPr>
            <w:tcW w:w="1875" w:type="dxa"/>
            <w:gridSpan w:val="2"/>
            <w:tcBorders>
              <w:top w:val="single" w:sz="8" w:space="0" w:color="AEAEAE"/>
              <w:left w:val="single" w:sz="8" w:space="0" w:color="E0E0E0"/>
              <w:bottom w:val="single" w:sz="8" w:space="0" w:color="152935"/>
              <w:right w:val="nil"/>
            </w:tcBorders>
            <w:shd w:val="clear" w:color="auto" w:fill="FFFFFF"/>
            <w:vAlign w:val="center"/>
          </w:tcPr>
          <w:p w:rsidR="00F721C6" w:rsidRPr="00350D99" w:rsidRDefault="00F721C6" w:rsidP="008E09FB">
            <w:pPr>
              <w:autoSpaceDE w:val="0"/>
              <w:autoSpaceDN w:val="0"/>
              <w:adjustRightInd w:val="0"/>
              <w:ind w:left="426"/>
              <w:rPr>
                <w:rFonts w:cs="Times New Roman"/>
                <w:sz w:val="20"/>
                <w:szCs w:val="20"/>
              </w:rPr>
            </w:pPr>
          </w:p>
        </w:tc>
      </w:tr>
      <w:tr w:rsidR="00F721C6" w:rsidRPr="00350D99" w:rsidTr="00F721C6">
        <w:tblPrEx>
          <w:jc w:val="left"/>
        </w:tblPrEx>
        <w:trPr>
          <w:gridBefore w:val="2"/>
          <w:gridAfter w:val="1"/>
          <w:wBefore w:w="1890" w:type="dxa"/>
          <w:wAfter w:w="1290" w:type="dxa"/>
          <w:cantSplit/>
          <w:trHeight w:val="433"/>
        </w:trPr>
        <w:tc>
          <w:tcPr>
            <w:tcW w:w="4410" w:type="dxa"/>
            <w:gridSpan w:val="4"/>
            <w:tcBorders>
              <w:top w:val="nil"/>
              <w:left w:val="nil"/>
              <w:bottom w:val="nil"/>
              <w:right w:val="nil"/>
            </w:tcBorders>
            <w:shd w:val="clear" w:color="auto" w:fill="FFFFFF"/>
            <w:vAlign w:val="center"/>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b/>
                <w:bCs/>
                <w:color w:val="010205"/>
                <w:sz w:val="20"/>
                <w:szCs w:val="20"/>
              </w:rPr>
              <w:t>Test Statistics</w:t>
            </w:r>
            <w:r w:rsidRPr="00350D99">
              <w:rPr>
                <w:rFonts w:cs="Times New Roman"/>
                <w:b/>
                <w:bCs/>
                <w:color w:val="010205"/>
                <w:sz w:val="20"/>
                <w:szCs w:val="20"/>
                <w:vertAlign w:val="superscript"/>
              </w:rPr>
              <w:t>a,b</w:t>
            </w:r>
          </w:p>
        </w:tc>
      </w:tr>
      <w:tr w:rsidR="00F721C6" w:rsidRPr="00350D99" w:rsidTr="00F721C6">
        <w:tblPrEx>
          <w:jc w:val="left"/>
        </w:tblPrEx>
        <w:trPr>
          <w:gridBefore w:val="2"/>
          <w:gridAfter w:val="1"/>
          <w:wBefore w:w="1890" w:type="dxa"/>
          <w:wAfter w:w="1290" w:type="dxa"/>
          <w:cantSplit/>
          <w:trHeight w:val="481"/>
        </w:trPr>
        <w:tc>
          <w:tcPr>
            <w:tcW w:w="2177" w:type="dxa"/>
            <w:tcBorders>
              <w:top w:val="nil"/>
              <w:left w:val="nil"/>
              <w:bottom w:val="single" w:sz="8" w:space="0" w:color="152935"/>
              <w:right w:val="nil"/>
            </w:tcBorders>
            <w:shd w:val="clear" w:color="auto" w:fill="FFFFFF"/>
            <w:vAlign w:val="bottom"/>
          </w:tcPr>
          <w:p w:rsidR="00F721C6" w:rsidRPr="00350D99" w:rsidRDefault="00F721C6" w:rsidP="00F721C6">
            <w:pPr>
              <w:autoSpaceDE w:val="0"/>
              <w:autoSpaceDN w:val="0"/>
              <w:adjustRightInd w:val="0"/>
              <w:jc w:val="center"/>
              <w:rPr>
                <w:rFonts w:cs="Times New Roman"/>
                <w:sz w:val="20"/>
                <w:szCs w:val="20"/>
              </w:rPr>
            </w:pPr>
          </w:p>
        </w:tc>
        <w:tc>
          <w:tcPr>
            <w:tcW w:w="2233" w:type="dxa"/>
            <w:gridSpan w:val="3"/>
            <w:tcBorders>
              <w:top w:val="nil"/>
              <w:left w:val="nil"/>
              <w:bottom w:val="single" w:sz="8" w:space="0" w:color="152935"/>
              <w:right w:val="nil"/>
            </w:tcBorders>
            <w:shd w:val="clear" w:color="auto" w:fill="FFFFFF"/>
            <w:vAlign w:val="bottom"/>
            <w:hideMark/>
          </w:tcPr>
          <w:p w:rsidR="00F721C6" w:rsidRPr="00350D99" w:rsidRDefault="00F721C6" w:rsidP="00F721C6">
            <w:pPr>
              <w:autoSpaceDE w:val="0"/>
              <w:autoSpaceDN w:val="0"/>
              <w:adjustRightInd w:val="0"/>
              <w:ind w:left="60" w:right="60"/>
              <w:jc w:val="center"/>
              <w:rPr>
                <w:rFonts w:cs="Times New Roman"/>
                <w:color w:val="264A60"/>
                <w:sz w:val="20"/>
                <w:szCs w:val="20"/>
              </w:rPr>
            </w:pPr>
            <w:r w:rsidRPr="00350D99">
              <w:rPr>
                <w:rFonts w:cs="Times New Roman"/>
                <w:color w:val="264A60"/>
                <w:sz w:val="20"/>
                <w:szCs w:val="20"/>
              </w:rPr>
              <w:t>Score Prediksi</w:t>
            </w:r>
          </w:p>
        </w:tc>
      </w:tr>
      <w:tr w:rsidR="00F721C6" w:rsidRPr="00350D99" w:rsidTr="00F721C6">
        <w:tblPrEx>
          <w:jc w:val="left"/>
        </w:tblPrEx>
        <w:trPr>
          <w:gridBefore w:val="2"/>
          <w:gridAfter w:val="1"/>
          <w:wBefore w:w="1890" w:type="dxa"/>
          <w:wAfter w:w="1290" w:type="dxa"/>
          <w:cantSplit/>
          <w:trHeight w:val="368"/>
        </w:trPr>
        <w:tc>
          <w:tcPr>
            <w:tcW w:w="2177" w:type="dxa"/>
            <w:tcBorders>
              <w:top w:val="single" w:sz="8" w:space="0" w:color="152935"/>
              <w:left w:val="nil"/>
              <w:bottom w:val="single" w:sz="8" w:space="0" w:color="AEAEAE"/>
              <w:right w:val="nil"/>
            </w:tcBorders>
            <w:shd w:val="clear" w:color="auto" w:fill="E0E0E0"/>
            <w:hideMark/>
          </w:tcPr>
          <w:p w:rsidR="00F721C6" w:rsidRPr="00350D99" w:rsidRDefault="00F721C6" w:rsidP="00F721C6">
            <w:pPr>
              <w:autoSpaceDE w:val="0"/>
              <w:autoSpaceDN w:val="0"/>
              <w:adjustRightInd w:val="0"/>
              <w:ind w:left="60" w:right="60"/>
              <w:jc w:val="center"/>
              <w:rPr>
                <w:rFonts w:cs="Times New Roman"/>
                <w:color w:val="264A60"/>
                <w:sz w:val="20"/>
                <w:szCs w:val="20"/>
              </w:rPr>
            </w:pPr>
            <w:r w:rsidRPr="00350D99">
              <w:rPr>
                <w:rFonts w:cs="Times New Roman"/>
                <w:color w:val="264A60"/>
                <w:sz w:val="20"/>
                <w:szCs w:val="20"/>
              </w:rPr>
              <w:t>Kruskal-Wallis H</w:t>
            </w:r>
          </w:p>
        </w:tc>
        <w:tc>
          <w:tcPr>
            <w:tcW w:w="2233" w:type="dxa"/>
            <w:gridSpan w:val="3"/>
            <w:tcBorders>
              <w:top w:val="single" w:sz="8" w:space="0" w:color="152935"/>
              <w:left w:val="nil"/>
              <w:bottom w:val="single" w:sz="8" w:space="0" w:color="AEAEAE"/>
              <w:right w:val="nil"/>
            </w:tcBorders>
            <w:shd w:val="clear" w:color="auto" w:fill="FFFFFF"/>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color w:val="010205"/>
                <w:sz w:val="20"/>
                <w:szCs w:val="20"/>
              </w:rPr>
              <w:t>257.521</w:t>
            </w:r>
          </w:p>
        </w:tc>
      </w:tr>
      <w:tr w:rsidR="00F721C6" w:rsidRPr="00350D99" w:rsidTr="00F721C6">
        <w:tblPrEx>
          <w:jc w:val="left"/>
        </w:tblPrEx>
        <w:trPr>
          <w:gridBefore w:val="2"/>
          <w:gridAfter w:val="1"/>
          <w:wBefore w:w="1890" w:type="dxa"/>
          <w:wAfter w:w="1290" w:type="dxa"/>
          <w:cantSplit/>
          <w:trHeight w:val="368"/>
        </w:trPr>
        <w:tc>
          <w:tcPr>
            <w:tcW w:w="2177" w:type="dxa"/>
            <w:tcBorders>
              <w:top w:val="single" w:sz="8" w:space="0" w:color="AEAEAE"/>
              <w:left w:val="nil"/>
              <w:bottom w:val="single" w:sz="8" w:space="0" w:color="AEAEAE"/>
              <w:right w:val="nil"/>
            </w:tcBorders>
            <w:shd w:val="clear" w:color="auto" w:fill="E0E0E0"/>
            <w:hideMark/>
          </w:tcPr>
          <w:p w:rsidR="00F721C6" w:rsidRPr="00350D99" w:rsidRDefault="00F721C6" w:rsidP="00F721C6">
            <w:pPr>
              <w:autoSpaceDE w:val="0"/>
              <w:autoSpaceDN w:val="0"/>
              <w:adjustRightInd w:val="0"/>
              <w:ind w:left="60" w:right="60"/>
              <w:jc w:val="center"/>
              <w:rPr>
                <w:rFonts w:cs="Times New Roman"/>
                <w:color w:val="264A60"/>
                <w:sz w:val="20"/>
                <w:szCs w:val="20"/>
              </w:rPr>
            </w:pPr>
            <w:r w:rsidRPr="00350D99">
              <w:rPr>
                <w:rFonts w:cs="Times New Roman"/>
                <w:color w:val="264A60"/>
                <w:sz w:val="20"/>
                <w:szCs w:val="20"/>
              </w:rPr>
              <w:t>Df</w:t>
            </w:r>
          </w:p>
        </w:tc>
        <w:tc>
          <w:tcPr>
            <w:tcW w:w="2233" w:type="dxa"/>
            <w:gridSpan w:val="3"/>
            <w:tcBorders>
              <w:top w:val="single" w:sz="8" w:space="0" w:color="AEAEAE"/>
              <w:left w:val="nil"/>
              <w:bottom w:val="single" w:sz="8" w:space="0" w:color="AEAEAE"/>
              <w:right w:val="nil"/>
            </w:tcBorders>
            <w:shd w:val="clear" w:color="auto" w:fill="FFFFFF"/>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color w:val="010205"/>
                <w:sz w:val="20"/>
                <w:szCs w:val="20"/>
              </w:rPr>
              <w:t>2</w:t>
            </w:r>
          </w:p>
        </w:tc>
      </w:tr>
      <w:tr w:rsidR="00F721C6" w:rsidRPr="00350D99" w:rsidTr="00F721C6">
        <w:tblPrEx>
          <w:jc w:val="left"/>
        </w:tblPrEx>
        <w:trPr>
          <w:gridBefore w:val="2"/>
          <w:gridAfter w:val="1"/>
          <w:wBefore w:w="1890" w:type="dxa"/>
          <w:wAfter w:w="1290" w:type="dxa"/>
          <w:cantSplit/>
          <w:trHeight w:val="368"/>
        </w:trPr>
        <w:tc>
          <w:tcPr>
            <w:tcW w:w="2177" w:type="dxa"/>
            <w:tcBorders>
              <w:top w:val="single" w:sz="8" w:space="0" w:color="AEAEAE"/>
              <w:left w:val="nil"/>
              <w:bottom w:val="single" w:sz="8" w:space="0" w:color="152935"/>
              <w:right w:val="nil"/>
            </w:tcBorders>
            <w:shd w:val="clear" w:color="auto" w:fill="E0E0E0"/>
            <w:hideMark/>
          </w:tcPr>
          <w:p w:rsidR="00F721C6" w:rsidRPr="00350D99" w:rsidRDefault="00F721C6" w:rsidP="00F721C6">
            <w:pPr>
              <w:autoSpaceDE w:val="0"/>
              <w:autoSpaceDN w:val="0"/>
              <w:adjustRightInd w:val="0"/>
              <w:ind w:left="60" w:right="60"/>
              <w:jc w:val="center"/>
              <w:rPr>
                <w:rFonts w:cs="Times New Roman"/>
                <w:color w:val="264A60"/>
                <w:sz w:val="20"/>
                <w:szCs w:val="20"/>
              </w:rPr>
            </w:pPr>
            <w:r w:rsidRPr="00350D99">
              <w:rPr>
                <w:rFonts w:cs="Times New Roman"/>
                <w:color w:val="264A60"/>
                <w:sz w:val="20"/>
                <w:szCs w:val="20"/>
              </w:rPr>
              <w:t>Asymp. Sig.</w:t>
            </w:r>
          </w:p>
        </w:tc>
        <w:tc>
          <w:tcPr>
            <w:tcW w:w="2233" w:type="dxa"/>
            <w:gridSpan w:val="3"/>
            <w:tcBorders>
              <w:top w:val="single" w:sz="8" w:space="0" w:color="AEAEAE"/>
              <w:left w:val="nil"/>
              <w:bottom w:val="single" w:sz="8" w:space="0" w:color="152935"/>
              <w:right w:val="nil"/>
            </w:tcBorders>
            <w:shd w:val="clear" w:color="auto" w:fill="FFFFFF"/>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color w:val="010205"/>
                <w:sz w:val="20"/>
                <w:szCs w:val="20"/>
              </w:rPr>
              <w:t>.000</w:t>
            </w:r>
          </w:p>
        </w:tc>
      </w:tr>
      <w:tr w:rsidR="00F721C6" w:rsidRPr="00350D99" w:rsidTr="00F721C6">
        <w:tblPrEx>
          <w:jc w:val="left"/>
        </w:tblPrEx>
        <w:trPr>
          <w:gridBefore w:val="2"/>
          <w:gridAfter w:val="1"/>
          <w:wBefore w:w="1890" w:type="dxa"/>
          <w:wAfter w:w="1290" w:type="dxa"/>
          <w:cantSplit/>
          <w:trHeight w:val="368"/>
        </w:trPr>
        <w:tc>
          <w:tcPr>
            <w:tcW w:w="4410" w:type="dxa"/>
            <w:gridSpan w:val="4"/>
            <w:tcBorders>
              <w:top w:val="nil"/>
              <w:left w:val="nil"/>
              <w:bottom w:val="nil"/>
              <w:right w:val="nil"/>
            </w:tcBorders>
            <w:shd w:val="clear" w:color="auto" w:fill="FFFFFF"/>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color w:val="010205"/>
                <w:sz w:val="20"/>
                <w:szCs w:val="20"/>
              </w:rPr>
              <w:t>a. Kruskal Wallis Test</w:t>
            </w:r>
          </w:p>
        </w:tc>
      </w:tr>
      <w:tr w:rsidR="00F721C6" w:rsidRPr="00350D99" w:rsidTr="00F721C6">
        <w:tblPrEx>
          <w:jc w:val="left"/>
        </w:tblPrEx>
        <w:trPr>
          <w:gridBefore w:val="2"/>
          <w:gridAfter w:val="1"/>
          <w:wBefore w:w="1890" w:type="dxa"/>
          <w:wAfter w:w="1290" w:type="dxa"/>
          <w:cantSplit/>
          <w:trHeight w:val="353"/>
        </w:trPr>
        <w:tc>
          <w:tcPr>
            <w:tcW w:w="4410" w:type="dxa"/>
            <w:gridSpan w:val="4"/>
            <w:tcBorders>
              <w:top w:val="nil"/>
              <w:left w:val="nil"/>
              <w:bottom w:val="nil"/>
              <w:right w:val="nil"/>
            </w:tcBorders>
            <w:shd w:val="clear" w:color="auto" w:fill="FFFFFF"/>
            <w:hideMark/>
          </w:tcPr>
          <w:p w:rsidR="00F721C6" w:rsidRPr="00350D99" w:rsidRDefault="00F721C6" w:rsidP="00F721C6">
            <w:pPr>
              <w:autoSpaceDE w:val="0"/>
              <w:autoSpaceDN w:val="0"/>
              <w:adjustRightInd w:val="0"/>
              <w:ind w:left="60" w:right="60"/>
              <w:jc w:val="center"/>
              <w:rPr>
                <w:rFonts w:cs="Times New Roman"/>
                <w:color w:val="010205"/>
                <w:sz w:val="20"/>
                <w:szCs w:val="20"/>
              </w:rPr>
            </w:pPr>
            <w:r w:rsidRPr="00350D99">
              <w:rPr>
                <w:rFonts w:cs="Times New Roman"/>
                <w:color w:val="010205"/>
                <w:sz w:val="20"/>
                <w:szCs w:val="20"/>
              </w:rPr>
              <w:t>b. Grouping Variable: Model Prediksi</w:t>
            </w:r>
          </w:p>
        </w:tc>
      </w:tr>
    </w:tbl>
    <w:p w:rsidR="000C5E32" w:rsidRPr="00F721C6" w:rsidRDefault="00F721C6" w:rsidP="000C5E32">
      <w:pPr>
        <w:widowControl/>
        <w:ind w:left="426" w:firstLine="567"/>
        <w:jc w:val="both"/>
        <w:rPr>
          <w:rFonts w:ascii="Arial" w:eastAsia="Arial" w:hAnsi="Arial" w:cs="Arial"/>
          <w:sz w:val="24"/>
          <w:szCs w:val="24"/>
          <w:lang w:val="en-US"/>
        </w:rPr>
      </w:pPr>
      <w:r w:rsidRPr="00F721C6">
        <w:rPr>
          <w:rFonts w:ascii="Arial" w:eastAsia="Arial" w:hAnsi="Arial" w:cs="Arial"/>
          <w:sz w:val="24"/>
          <w:szCs w:val="24"/>
        </w:rPr>
        <w:t>In testing the hypothesis of the Kruskal wallis test in this study indicated that the value of Asump.Sig was 0.000 &lt; 0.05 With this score, it was explained that H1 was accepted and showed differences in bankruptcy prediction scores using the Altman, Springate and Zmijewski models which meant that there were differences in predicting bankruptcy with the Altman, Springate and Zmijewski models, real estate and property companies listed on the IDX. This is in line with last year's research that discussed bankruptcy predictions(H. E. Sari &amp; Ariyani, 2022)</w:t>
      </w:r>
      <w:r>
        <w:rPr>
          <w:rFonts w:ascii="Arial" w:eastAsia="Arial" w:hAnsi="Arial" w:cs="Arial"/>
          <w:sz w:val="24"/>
          <w:szCs w:val="24"/>
          <w:lang w:val="en-US"/>
        </w:rPr>
        <w:t>.</w:t>
      </w:r>
    </w:p>
    <w:p w:rsidR="000C5E32" w:rsidRDefault="000C5E32" w:rsidP="000C5E32">
      <w:pPr>
        <w:widowControl/>
        <w:ind w:left="426" w:firstLine="567"/>
        <w:jc w:val="both"/>
        <w:rPr>
          <w:rFonts w:ascii="Arial" w:eastAsia="Arial" w:hAnsi="Arial" w:cs="Arial"/>
          <w:sz w:val="24"/>
          <w:szCs w:val="24"/>
        </w:rPr>
      </w:pPr>
    </w:p>
    <w:p w:rsidR="000C5E32" w:rsidRDefault="00F721C6" w:rsidP="00F721C6">
      <w:pPr>
        <w:widowControl/>
        <w:ind w:left="450" w:firstLine="540"/>
        <w:jc w:val="both"/>
        <w:rPr>
          <w:rFonts w:ascii="Arial" w:eastAsia="Arial" w:hAnsi="Arial" w:cs="Arial"/>
          <w:sz w:val="24"/>
          <w:szCs w:val="24"/>
        </w:rPr>
      </w:pPr>
      <w:r w:rsidRPr="00F721C6">
        <w:rPr>
          <w:rFonts w:ascii="Arial" w:eastAsia="Arial" w:hAnsi="Arial" w:cs="Arial"/>
          <w:sz w:val="24"/>
          <w:szCs w:val="24"/>
        </w:rPr>
        <w:t>H2 : The Zmijewski model is the most accurate bankruptcy prediction model for predicting the bankruptcy of real estate and property companies listed on the IDX</w:t>
      </w:r>
    </w:p>
    <w:p w:rsidR="00E230B4" w:rsidRDefault="00E230B4" w:rsidP="00E230B4">
      <w:pPr>
        <w:widowControl/>
        <w:jc w:val="center"/>
        <w:rPr>
          <w:rFonts w:cs="Times New Roman"/>
          <w:b/>
          <w:bCs/>
        </w:rPr>
      </w:pPr>
      <w:r>
        <w:rPr>
          <w:rFonts w:cs="Times New Roman"/>
          <w:b/>
          <w:bCs/>
        </w:rPr>
        <w:t>Recapitulation of the entire model</w:t>
      </w:r>
    </w:p>
    <w:tbl>
      <w:tblPr>
        <w:tblStyle w:val="TableGrid"/>
        <w:tblW w:w="0" w:type="auto"/>
        <w:jc w:val="center"/>
        <w:tblLook w:val="04A0" w:firstRow="1" w:lastRow="0" w:firstColumn="1" w:lastColumn="0" w:noHBand="0" w:noVBand="1"/>
      </w:tblPr>
      <w:tblGrid>
        <w:gridCol w:w="1098"/>
        <w:gridCol w:w="1295"/>
        <w:gridCol w:w="1310"/>
        <w:gridCol w:w="1113"/>
        <w:gridCol w:w="1374"/>
        <w:gridCol w:w="1370"/>
      </w:tblGrid>
      <w:tr w:rsidR="00E230B4" w:rsidRPr="00350D99" w:rsidTr="00E230B4">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bookmarkStart w:id="1" w:name="_Hlk130798541"/>
            <w:r w:rsidRPr="00350D99">
              <w:t>Model</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rsidR="00E230B4" w:rsidRPr="00500FE7" w:rsidRDefault="00E230B4" w:rsidP="008E09FB">
            <w:pPr>
              <w:autoSpaceDE w:val="0"/>
              <w:autoSpaceDN w:val="0"/>
              <w:adjustRightInd w:val="0"/>
              <w:jc w:val="center"/>
              <w:rPr>
                <w:lang w:val="id-ID"/>
              </w:rPr>
            </w:pPr>
            <w:r>
              <w:rPr>
                <w:lang w:val="id-ID"/>
              </w:rPr>
              <w:t>predictions</w:t>
            </w: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rsidR="00E230B4" w:rsidRPr="00500FE7" w:rsidRDefault="00E230B4" w:rsidP="008E09FB">
            <w:pPr>
              <w:autoSpaceDE w:val="0"/>
              <w:autoSpaceDN w:val="0"/>
              <w:adjustRightInd w:val="0"/>
              <w:jc w:val="center"/>
              <w:rPr>
                <w:lang w:val="id-ID"/>
              </w:rPr>
            </w:pPr>
            <w:r>
              <w:rPr>
                <w:lang w:val="id-ID"/>
              </w:rPr>
              <w:t>Accuration rate</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E230B4" w:rsidRPr="00500FE7" w:rsidRDefault="00E230B4" w:rsidP="008E09FB">
            <w:pPr>
              <w:autoSpaceDE w:val="0"/>
              <w:autoSpaceDN w:val="0"/>
              <w:adjustRightInd w:val="0"/>
              <w:jc w:val="center"/>
              <w:rPr>
                <w:lang w:val="id-ID"/>
              </w:rPr>
            </w:pPr>
            <w:r w:rsidRPr="00350D99">
              <w:t>Error</w:t>
            </w:r>
            <w:r>
              <w:rPr>
                <w:lang w:val="id-ID"/>
              </w:rPr>
              <w:t xml:space="preserve"> rate</w:t>
            </w:r>
          </w:p>
        </w:tc>
      </w:tr>
      <w:tr w:rsidR="00E230B4" w:rsidRPr="00350D99" w:rsidTr="00E230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tc>
        <w:tc>
          <w:tcPr>
            <w:tcW w:w="1295"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t>false</w:t>
            </w:r>
          </w:p>
        </w:tc>
        <w:tc>
          <w:tcPr>
            <w:tcW w:w="1310" w:type="dxa"/>
            <w:tcBorders>
              <w:top w:val="single" w:sz="4" w:space="0" w:color="auto"/>
              <w:left w:val="single" w:sz="4" w:space="0" w:color="auto"/>
              <w:bottom w:val="single" w:sz="4" w:space="0" w:color="auto"/>
              <w:right w:val="single" w:sz="4" w:space="0" w:color="auto"/>
            </w:tcBorders>
            <w:vAlign w:val="center"/>
            <w:hideMark/>
          </w:tcPr>
          <w:p w:rsidR="00E230B4" w:rsidRPr="00500FE7" w:rsidRDefault="00E230B4" w:rsidP="008E09FB">
            <w:pPr>
              <w:autoSpaceDE w:val="0"/>
              <w:autoSpaceDN w:val="0"/>
              <w:adjustRightInd w:val="0"/>
              <w:jc w:val="center"/>
              <w:rPr>
                <w:lang w:val="id-ID"/>
              </w:rPr>
            </w:pPr>
            <w:r>
              <w:rPr>
                <w:lang w:val="id-ID"/>
              </w:rPr>
              <w:t>true</w:t>
            </w:r>
          </w:p>
        </w:tc>
        <w:tc>
          <w:tcPr>
            <w:tcW w:w="1113" w:type="dxa"/>
            <w:tcBorders>
              <w:top w:val="single" w:sz="4" w:space="0" w:color="auto"/>
              <w:left w:val="single" w:sz="4" w:space="0" w:color="auto"/>
              <w:bottom w:val="single" w:sz="4" w:space="0" w:color="auto"/>
              <w:right w:val="single" w:sz="4" w:space="0" w:color="auto"/>
            </w:tcBorders>
            <w:hideMark/>
          </w:tcPr>
          <w:p w:rsidR="00E230B4" w:rsidRPr="00500FE7" w:rsidRDefault="00E230B4" w:rsidP="008E09FB">
            <w:pPr>
              <w:autoSpaceDE w:val="0"/>
              <w:autoSpaceDN w:val="0"/>
              <w:adjustRightInd w:val="0"/>
              <w:jc w:val="both"/>
              <w:rPr>
                <w:lang w:val="id-ID"/>
              </w:rPr>
            </w:pPr>
            <w:proofErr w:type="spellStart"/>
            <w:r>
              <w:t>Samp</w:t>
            </w:r>
            <w:r w:rsidRPr="00350D99">
              <w:t>l</w:t>
            </w:r>
            <w:proofErr w:type="spellEnd"/>
            <w:r>
              <w:rPr>
                <w:lang w:val="id-ID"/>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tc>
      </w:tr>
      <w:tr w:rsidR="00E230B4" w:rsidRPr="00350D99" w:rsidTr="00E230B4">
        <w:trPr>
          <w:jc w:val="center"/>
        </w:trPr>
        <w:tc>
          <w:tcPr>
            <w:tcW w:w="104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Altman</w:t>
            </w:r>
          </w:p>
        </w:tc>
        <w:tc>
          <w:tcPr>
            <w:tcW w:w="129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53</w:t>
            </w:r>
          </w:p>
        </w:tc>
        <w:tc>
          <w:tcPr>
            <w:tcW w:w="1310"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62</w:t>
            </w:r>
          </w:p>
        </w:tc>
        <w:tc>
          <w:tcPr>
            <w:tcW w:w="1113"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center"/>
            </w:pPr>
            <w:r w:rsidRPr="00350D99">
              <w:t>135</w:t>
            </w:r>
          </w:p>
        </w:tc>
        <w:tc>
          <w:tcPr>
            <w:tcW w:w="1374"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=62/135*100 </w:instrText>
            </w:r>
            <w:r w:rsidRPr="00350D99">
              <w:fldChar w:fldCharType="separate"/>
            </w:r>
            <w:r w:rsidRPr="00350D99">
              <w:rPr>
                <w:noProof/>
              </w:rPr>
              <w:t>45.93</w:t>
            </w:r>
            <w:r w:rsidRPr="00350D99">
              <w:fldChar w:fldCharType="end"/>
            </w:r>
            <w:r w:rsidRPr="00350D99">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=53/135*100 </w:instrText>
            </w:r>
            <w:r w:rsidRPr="00350D99">
              <w:fldChar w:fldCharType="separate"/>
            </w:r>
            <w:r w:rsidRPr="00350D99">
              <w:rPr>
                <w:noProof/>
              </w:rPr>
              <w:t>39.26</w:t>
            </w:r>
            <w:r w:rsidRPr="00350D99">
              <w:fldChar w:fldCharType="end"/>
            </w:r>
            <w:r w:rsidRPr="00350D99">
              <w:t>%</w:t>
            </w:r>
          </w:p>
        </w:tc>
      </w:tr>
      <w:tr w:rsidR="00E230B4" w:rsidRPr="00350D99" w:rsidTr="00E230B4">
        <w:trPr>
          <w:jc w:val="center"/>
        </w:trPr>
        <w:tc>
          <w:tcPr>
            <w:tcW w:w="104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proofErr w:type="spellStart"/>
            <w:r w:rsidRPr="00350D99">
              <w:t>Springate</w:t>
            </w:r>
            <w:proofErr w:type="spellEnd"/>
          </w:p>
        </w:tc>
        <w:tc>
          <w:tcPr>
            <w:tcW w:w="129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30</w:t>
            </w:r>
          </w:p>
        </w:tc>
        <w:tc>
          <w:tcPr>
            <w:tcW w:w="1310"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105</w:t>
            </w:r>
          </w:p>
        </w:tc>
        <w:tc>
          <w:tcPr>
            <w:tcW w:w="1113"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center"/>
            </w:pPr>
            <w:r w:rsidRPr="00350D99">
              <w:t>135</w:t>
            </w:r>
          </w:p>
        </w:tc>
        <w:tc>
          <w:tcPr>
            <w:tcW w:w="1374"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=105/135*100 </w:instrText>
            </w:r>
            <w:r w:rsidRPr="00350D99">
              <w:fldChar w:fldCharType="separate"/>
            </w:r>
            <w:r w:rsidRPr="00350D99">
              <w:rPr>
                <w:noProof/>
              </w:rPr>
              <w:t>77.78</w:t>
            </w:r>
            <w:r w:rsidRPr="00350D99">
              <w:fldChar w:fldCharType="end"/>
            </w:r>
            <w:r w:rsidRPr="00350D99">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=30/135*100 </w:instrText>
            </w:r>
            <w:r w:rsidRPr="00350D99">
              <w:fldChar w:fldCharType="separate"/>
            </w:r>
            <w:r w:rsidRPr="00350D99">
              <w:rPr>
                <w:noProof/>
              </w:rPr>
              <w:t>22.22</w:t>
            </w:r>
            <w:r w:rsidRPr="00350D99">
              <w:fldChar w:fldCharType="end"/>
            </w:r>
            <w:r w:rsidRPr="00350D99">
              <w:t>%</w:t>
            </w:r>
          </w:p>
        </w:tc>
      </w:tr>
      <w:tr w:rsidR="00E230B4" w:rsidRPr="00350D99" w:rsidTr="00E230B4">
        <w:trPr>
          <w:jc w:val="center"/>
        </w:trPr>
        <w:tc>
          <w:tcPr>
            <w:tcW w:w="104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proofErr w:type="spellStart"/>
            <w:r w:rsidRPr="00350D99">
              <w:t>Zmijewski</w:t>
            </w:r>
            <w:proofErr w:type="spellEnd"/>
          </w:p>
        </w:tc>
        <w:tc>
          <w:tcPr>
            <w:tcW w:w="1295"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18</w:t>
            </w:r>
          </w:p>
        </w:tc>
        <w:tc>
          <w:tcPr>
            <w:tcW w:w="1310"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both"/>
            </w:pPr>
            <w:r w:rsidRPr="00350D99">
              <w:t>117</w:t>
            </w:r>
          </w:p>
        </w:tc>
        <w:tc>
          <w:tcPr>
            <w:tcW w:w="1113" w:type="dxa"/>
            <w:tcBorders>
              <w:top w:val="single" w:sz="4" w:space="0" w:color="auto"/>
              <w:left w:val="single" w:sz="4" w:space="0" w:color="auto"/>
              <w:bottom w:val="single" w:sz="4" w:space="0" w:color="auto"/>
              <w:right w:val="single" w:sz="4" w:space="0" w:color="auto"/>
            </w:tcBorders>
            <w:hideMark/>
          </w:tcPr>
          <w:p w:rsidR="00E230B4" w:rsidRPr="00350D99" w:rsidRDefault="00E230B4" w:rsidP="008E09FB">
            <w:pPr>
              <w:autoSpaceDE w:val="0"/>
              <w:autoSpaceDN w:val="0"/>
              <w:adjustRightInd w:val="0"/>
              <w:jc w:val="center"/>
            </w:pPr>
            <w:r w:rsidRPr="00350D99">
              <w:t>135</w:t>
            </w:r>
          </w:p>
        </w:tc>
        <w:tc>
          <w:tcPr>
            <w:tcW w:w="1374"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=117/135*100 </w:instrText>
            </w:r>
            <w:r w:rsidRPr="00350D99">
              <w:fldChar w:fldCharType="separate"/>
            </w:r>
            <w:r w:rsidRPr="00350D99">
              <w:rPr>
                <w:noProof/>
              </w:rPr>
              <w:t>86.67</w:t>
            </w:r>
            <w:r w:rsidRPr="00350D99">
              <w:fldChar w:fldCharType="end"/>
            </w:r>
            <w:r w:rsidRPr="00350D99">
              <w:t>%</w:t>
            </w:r>
          </w:p>
        </w:tc>
        <w:tc>
          <w:tcPr>
            <w:tcW w:w="1370" w:type="dxa"/>
            <w:tcBorders>
              <w:top w:val="single" w:sz="4" w:space="0" w:color="auto"/>
              <w:left w:val="single" w:sz="4" w:space="0" w:color="auto"/>
              <w:bottom w:val="single" w:sz="4" w:space="0" w:color="auto"/>
              <w:right w:val="single" w:sz="4" w:space="0" w:color="auto"/>
            </w:tcBorders>
            <w:vAlign w:val="center"/>
            <w:hideMark/>
          </w:tcPr>
          <w:p w:rsidR="00E230B4" w:rsidRPr="00350D99" w:rsidRDefault="00E230B4" w:rsidP="008E09FB">
            <w:pPr>
              <w:autoSpaceDE w:val="0"/>
              <w:autoSpaceDN w:val="0"/>
              <w:adjustRightInd w:val="0"/>
              <w:jc w:val="center"/>
            </w:pPr>
            <w:r w:rsidRPr="00350D99">
              <w:fldChar w:fldCharType="begin"/>
            </w:r>
            <w:r w:rsidRPr="00350D99">
              <w:instrText xml:space="preserve"> =18/135*100 </w:instrText>
            </w:r>
            <w:r w:rsidRPr="00350D99">
              <w:fldChar w:fldCharType="separate"/>
            </w:r>
            <w:r w:rsidRPr="00350D99">
              <w:rPr>
                <w:noProof/>
              </w:rPr>
              <w:t>13.33</w:t>
            </w:r>
            <w:r w:rsidRPr="00350D99">
              <w:fldChar w:fldCharType="end"/>
            </w:r>
            <w:r w:rsidRPr="00350D99">
              <w:t>%</w:t>
            </w:r>
          </w:p>
        </w:tc>
      </w:tr>
      <w:bookmarkEnd w:id="1"/>
    </w:tbl>
    <w:p w:rsidR="00E230B4" w:rsidRPr="00F721C6" w:rsidRDefault="00E230B4" w:rsidP="00E230B4">
      <w:pPr>
        <w:widowControl/>
        <w:jc w:val="center"/>
        <w:rPr>
          <w:rFonts w:ascii="Arial" w:eastAsia="Arial" w:hAnsi="Arial" w:cs="Arial"/>
          <w:sz w:val="24"/>
          <w:szCs w:val="24"/>
          <w:lang w:val="en-US"/>
        </w:rPr>
      </w:pPr>
    </w:p>
    <w:p w:rsidR="000C5E32" w:rsidRDefault="00E230B4" w:rsidP="000C5E32">
      <w:pPr>
        <w:widowControl/>
        <w:ind w:left="426" w:firstLine="567"/>
        <w:jc w:val="both"/>
        <w:rPr>
          <w:rFonts w:ascii="Arial" w:eastAsia="Arial" w:hAnsi="Arial" w:cs="Arial"/>
          <w:sz w:val="24"/>
          <w:szCs w:val="24"/>
        </w:rPr>
      </w:pPr>
      <w:r w:rsidRPr="00E230B4">
        <w:rPr>
          <w:rFonts w:ascii="Arial" w:eastAsia="Arial" w:hAnsi="Arial" w:cs="Arial"/>
          <w:sz w:val="24"/>
          <w:szCs w:val="24"/>
        </w:rPr>
        <w:t>The recapitulation of the results in table 4.10 illustrates that there is a difference in the level of accuracy between Altman, Springate and Zmijewski's decision prediction models in predicting bankruptcies in real estate and property sector companies. The Altman model has a correct predictability of 62 companies out of a total of 135 companies with an accuracy rate of 45.93% and an error rate of 39.26%. The Springate model has a total score rate of 77.78% with 105 correct predictions out of 135 companies, while the Zmijewski model has a total of 117 correct predictions from a total of 135 companies with a total accuracy of 86.67% and an error rate of 13.33%.  The overall result of the measurement calculation shows that H1 is Accepted.</w:t>
      </w:r>
    </w:p>
    <w:p w:rsidR="00B31FB3" w:rsidRDefault="00B31FB3" w:rsidP="000C5E32">
      <w:pPr>
        <w:widowControl/>
        <w:ind w:left="426" w:firstLine="567"/>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CONCLUSION</w:t>
      </w:r>
    </w:p>
    <w:p w:rsidR="00F47D48" w:rsidRDefault="00E230B4" w:rsidP="00E230B4">
      <w:pPr>
        <w:widowControl/>
        <w:ind w:left="426" w:firstLine="567"/>
        <w:jc w:val="both"/>
        <w:rPr>
          <w:rFonts w:ascii="Arial" w:eastAsia="Arial" w:hAnsi="Arial" w:cs="Arial"/>
          <w:sz w:val="24"/>
          <w:szCs w:val="24"/>
        </w:rPr>
      </w:pPr>
      <w:r w:rsidRPr="00E230B4">
        <w:rPr>
          <w:rFonts w:ascii="Arial" w:eastAsia="Arial" w:hAnsi="Arial" w:cs="Arial"/>
          <w:sz w:val="24"/>
          <w:szCs w:val="24"/>
        </w:rPr>
        <w:t>Based on the research conducted, the foll</w:t>
      </w:r>
      <w:r>
        <w:rPr>
          <w:rFonts w:ascii="Arial" w:eastAsia="Arial" w:hAnsi="Arial" w:cs="Arial"/>
          <w:sz w:val="24"/>
          <w:szCs w:val="24"/>
        </w:rPr>
        <w:t>owing conclusions can be drawn:</w:t>
      </w:r>
      <w:r>
        <w:rPr>
          <w:rFonts w:ascii="Arial" w:eastAsia="Arial" w:hAnsi="Arial" w:cs="Arial"/>
          <w:sz w:val="24"/>
          <w:szCs w:val="24"/>
          <w:lang w:val="en-US"/>
        </w:rPr>
        <w:t xml:space="preserve"> </w:t>
      </w:r>
      <w:r w:rsidRPr="00E230B4">
        <w:rPr>
          <w:rFonts w:ascii="Arial" w:eastAsia="Arial" w:hAnsi="Arial" w:cs="Arial"/>
          <w:sz w:val="24"/>
          <w:szCs w:val="24"/>
        </w:rPr>
        <w:t>There are significant differences between Altman Springate and Zmijewski's methods in predicting the bankruptcy of real estate and roperty companies listed on the Indonesia Stock Exchange for the 2019-2021 period</w:t>
      </w:r>
      <w:r>
        <w:rPr>
          <w:rFonts w:ascii="Arial" w:eastAsia="Arial" w:hAnsi="Arial" w:cs="Arial"/>
          <w:sz w:val="24"/>
          <w:szCs w:val="24"/>
          <w:lang w:val="en-US"/>
        </w:rPr>
        <w:t xml:space="preserve">. </w:t>
      </w:r>
      <w:r w:rsidRPr="00E230B4">
        <w:rPr>
          <w:rFonts w:ascii="Arial" w:eastAsia="Arial" w:hAnsi="Arial" w:cs="Arial"/>
          <w:sz w:val="24"/>
          <w:szCs w:val="24"/>
        </w:rPr>
        <w:t xml:space="preserve">The most accurate method </w:t>
      </w:r>
      <w:r w:rsidRPr="00E230B4">
        <w:rPr>
          <w:rFonts w:ascii="Arial" w:eastAsia="Arial" w:hAnsi="Arial" w:cs="Arial"/>
          <w:sz w:val="24"/>
          <w:szCs w:val="24"/>
        </w:rPr>
        <w:lastRenderedPageBreak/>
        <w:t>for predicting the bankruptcy of real estate and property sector companies is the Zmijewski Method because it obtained the results of measuring the total score of 97.78% accuracy rate with correct predictions 44 out of 45 companies. The Altman Model has a correct predictability of 23 companies out of a total of 45 companies with an accuracy rate of 51.11% and an error rate of 35.56% and the Springate Model has a total of 41 correct predictions from a total of 45 companies with a total accuracy of 91.11%.</w:t>
      </w:r>
    </w:p>
    <w:p w:rsidR="00F47D48" w:rsidRDefault="00F47D48">
      <w:pPr>
        <w:widowControl/>
        <w:ind w:left="426" w:firstLine="284"/>
        <w:jc w:val="both"/>
        <w:rPr>
          <w:rFonts w:ascii="Arial" w:eastAsia="Arial" w:hAnsi="Arial" w:cs="Arial"/>
          <w:sz w:val="24"/>
          <w:szCs w:val="24"/>
        </w:rPr>
      </w:pPr>
    </w:p>
    <w:p w:rsidR="00F47D48" w:rsidRDefault="006B1E41">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rsidR="00F47D48" w:rsidRDefault="00F47D48">
      <w:pPr>
        <w:pBdr>
          <w:top w:val="nil"/>
          <w:left w:val="nil"/>
          <w:bottom w:val="nil"/>
          <w:right w:val="nil"/>
          <w:between w:val="nil"/>
        </w:pBdr>
        <w:rPr>
          <w:rFonts w:ascii="Arial" w:eastAsia="Arial" w:hAnsi="Arial" w:cs="Arial"/>
          <w:sz w:val="24"/>
          <w:szCs w:val="24"/>
        </w:rPr>
      </w:pPr>
    </w:p>
    <w:p w:rsidR="00E230B4" w:rsidRPr="00E230B4" w:rsidRDefault="00B31FB3" w:rsidP="00E230B4">
      <w:pPr>
        <w:autoSpaceDE w:val="0"/>
        <w:autoSpaceDN w:val="0"/>
        <w:adjustRightInd w:val="0"/>
        <w:ind w:left="990" w:hanging="480"/>
        <w:jc w:val="both"/>
        <w:rPr>
          <w:rFonts w:ascii="Arial" w:hAnsi="Arial" w:cs="Arial"/>
          <w:noProof/>
          <w:sz w:val="24"/>
          <w:szCs w:val="24"/>
        </w:rPr>
      </w:pPr>
      <w:r>
        <w:rPr>
          <w:rFonts w:ascii="Arial" w:eastAsia="Arial" w:hAnsi="Arial" w:cs="Arial"/>
          <w:color w:val="000000"/>
          <w:sz w:val="24"/>
          <w:szCs w:val="24"/>
        </w:rPr>
        <w:fldChar w:fldCharType="begin" w:fldLock="1"/>
      </w:r>
      <w:r>
        <w:rPr>
          <w:rFonts w:ascii="Arial" w:eastAsia="Arial" w:hAnsi="Arial" w:cs="Arial"/>
          <w:color w:val="000000"/>
          <w:sz w:val="24"/>
          <w:szCs w:val="24"/>
        </w:rPr>
        <w:instrText xml:space="preserve">ADDIN Mendeley Bibliography CSL_BIBLIOGRAPHY </w:instrText>
      </w:r>
      <w:r>
        <w:rPr>
          <w:rFonts w:ascii="Arial" w:eastAsia="Arial" w:hAnsi="Arial" w:cs="Arial"/>
          <w:color w:val="000000"/>
          <w:sz w:val="24"/>
          <w:szCs w:val="24"/>
        </w:rPr>
        <w:fldChar w:fldCharType="separate"/>
      </w:r>
      <w:r w:rsidR="00E230B4" w:rsidRPr="00E230B4">
        <w:t xml:space="preserve"> </w:t>
      </w:r>
      <w:r w:rsidR="00E230B4" w:rsidRPr="00E230B4">
        <w:rPr>
          <w:rFonts w:ascii="Arial" w:hAnsi="Arial" w:cs="Arial"/>
          <w:noProof/>
          <w:sz w:val="24"/>
          <w:szCs w:val="24"/>
        </w:rPr>
        <w:t>As it is yhe last quarter of 2020 and the retail sector is volatile, what are the opportunities for the remaining year? (2020). https://www.colliers.com/en-id/news/market-commentary-as-it-is-the-last-quarter-of-2020-the-retail-sector-is-volatile</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Bacia, R., Petre, B., &amp; Simon, A. (2021). Insolvency Risk. Application of Altman Z-Score to the auto parts sector in Romania. International Journal Of Innovation And Economidevelopment, 7(4), 37–48.</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Banjarnahor, H., &amp; Devi. (2018). Influence Of Educational Levels And Small And Medium Enterprises Perception To Use Sak-Etap On Small And Medium Enterprises In Batam City. E-Jurnal Apresiasi Ekonomi, 6(2), 115–123.</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Dian, A. (2016). GBPP dan Modul Uji One Way Anova. July.</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Endang, S. (2019). Prediksi Kebangkrutan Dengan Model Altman Z-Score Pada Perusahaan Farmasi Yang Terdaftar Di Bursa Efek Indonesia Periode 2012-2016. Fairvalue: Jurnal Akuntansi Dan Keuangan, 2(1), 10. https://doi.org/10.36448/jak.v9i1.999</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Evi Dwi Prihanthini, N. M., &amp; M.Ratna Sari, M. (2013). Prediksi Kebangkrutan Dengan Model Grover, Altman Z-Score, Springate Dan Zmijewski Pada Perusahaan Food And Beverage Di Bursa Efek Indonesia. E-Jurnal Akuntansi Universitas Udayana, 2, 417–435.</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Haryo Prakoso, W., Ketut Agung Ulupui, I. G., &amp; Nusa Perdana, P. (2022). Analisis Perbandingan Model Taffler, Springate, Dan Grover Dalam Memprediksi Kebangkrutan Perusahaan. Jurnal Akuntansi, Perpajakan Dan Auditing, 3(1), 1–15.</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Hermuningsih, S., Maulida, A., &amp; Nur Agustina, A. (2022). Perbandingan Kebangkrutan Menggunakan Model Altman Z Score, Model Springate dan Model Zmijweski. Jurnal Ilmiah (Poli Bisnis), 14(1), 13–28.</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IAI. (2015). Psak 1. Ikatan Akuntansi Indonesia, 01(01), 1–79. https://staff.blog.ui.ac.id/martani/files/2011/04/ED-PSAK-1.pdf</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Junaidi, J. (2010). Statistik Uji Kruskal-Wallis. Fakultas Ekonomi Universitas Jambi, June, 1–5.</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Karmini. (2020). Statistika Non Parametrik.</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Kasmir. (2014). Analisis Laporan Keuangan. Jakarta : Rajawali Pers, 2014.</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Lily Jessica, R., Ratih Kusumawardani, M., &amp; Nadhiroh, U. (2022). Analisis Prediksi Kebangkrutan Dengan Menggunakan Metode Altman Z-Score Pada Perusahaan Farmasi Yang Terdaftar Di Bursa Efek Indonesia Tahun 2014-2019 (pp. 164–177).</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Meina, I., &amp; Susetyo, A. (2021). Analisis Perbandingan Model Altman, Springate Dan Zmijewski Dalam Memprediksi Kebangkrutan. JIMMBA (Jurnal Ilmiah Mahasiswa Manajemen Bisnis Dan Akuntansi), 3(5), 1020–1029.</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Melina, I., &amp; Susetyo, A. (2021). Analisis Perbandingan Model Altman, Springate Dan Zmijewski Dalam Memprediksi Kebangkrutan pada Perusahaan Tekstil dan Garmen. JIMMA, 3(5), 1020–1029.</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lastRenderedPageBreak/>
        <w:t>Milleniasari, P. A. (2022). Analisis Prediksi Kebangkrutan Perusahaan Retail Yang Terdaftar Di Bursa Efek Indonesia Dengan Model Altman Z-Score. Productivity, 2(1), 31–36.</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Muzanni, M., &amp; Yuliana, I. (2021). Comparative Analysis of Altman, Springate, and Zmijewski Models in Predicting the Bankruptcy of Retail Companies in Indonesia and Singapore. TIJAB (The International Journal of Applied Business), 5(1), 81–93. https://doi.org/10.20473/tijab.v5.i1.2021.81-93</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Nurdyastuti, T., &amp; Iskandar, D. (2019). Analisis Model Prediksi Kebangkrutan Pada Perusahaan Food and Beverages Yang Terdaftar Di Bei 2015-2017. Jurnal Bisnis Terapan, 3(01), 21–36. https://doi.org/10.24123/jbt.v3i01.1981</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Nurliyana, N., &amp; Aprilianita, D. (2022). Analisis Prediksi Kebangkrutan Menggunakan Metode Altman, Springate, Zmijweski Dan Grover Pada Pt. Indofood Cbp Sukses Makmur Tbk Periode 2016-2019. Reseacrh Accounting Jurnal, 2(1), 1–10.</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Pangkey, P. C., Saerang, I. S., &amp; Maramis, J. B. (2018). Analisis Prediksi Kebangkrutan Dengan Menggunakan Metode Altman Dan Metode Zmijewski Pada Perusahaan Bangkrut Yang Pernah Go Public Di Bursa Efek Indonesia. EMBA, 6(4), 3178–3187.</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Prakoso, W. H., Ulupui, I. G. K. A., &amp; Perdana, P. N. (2022). Analisis Perbandingan Model Taffler, Springate, dan Grover dalam Memprediksi Kebangkrutan Perusahaan. Jurnal Akuntansi , Perpajakan Dan Auditing, 3(1), 1–15. https://www.neliti.com/id/publications/136376/analisis-pengaruh-rasio-keuangan-terhadap-perubahan-laba</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Purnomo, A. F., &amp; Hendratno, H. (2019). Analisis Prediksi Kebangkrutan Menggunakan Metode Altman Z- Score, Grover, Dan Zmijewski Pada Perusahaan Minyak Dan Gas Bumi Yang Terdaftar Di Bursa Efek Indonesia Periode 2013-2017. E-Proceeding of Management, 6(2), 2143–2148.</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Ramadanty, A. P., &amp; Khomsiyah, K. (2022). Pengaruh Intellectual Capital dan Diversity Gender terhadap Financial Distress Dimoderasi oleh Firm Size. Owner, 6(4), 3743–3750. https://doi.org/10.33395/owner.v6i4.1132</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Sari, H. E., &amp; Ariyani, V. (2022). Analisis Perbandingan Potensi Kebangkrutan Perusahaan Manufaktur Periode 2020 dengan Model Altman, Springate, dan Zmijewski. JRMA (Jurnal Riset Manajemen Dan Akuntansi), 10(1), 25–39.</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Sari, M. P., &amp; Yunita, I. (2019). Analisis Prediksi Kebangkrutan Dan Tingkat Akurasi Model Springate, Zmijewski, Dan Grover Pada Perusahaan Sub Sektor Logam Dan Mineral Lainnya Yang Terdaftar Di Bursa Efek Indonesia Tahun 2012-2016. JIM UPB, 7(1), 69–77.</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Sari, M. P., Yunita, I., Springate, M., Grover, D. A. N., Sari, M. P., &amp; Yunita, I. (2019). Perusahaan Real Estate Dan Property Merupakan Perusahaan Memegang Peranan Penting Yang Bergerak Dalam Bidang Pembangunan Dan Perekonomian Suatu Negara, Seperti Perumahan, Apartemen, Perkantoran, Jembatan, Real Estate Dan Lainnya. Sektor Ini Dianggap Diang. 7(1), 69–77.</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Sari, R., Sayadi, M. H., Pebriani, R. A., &amp; Hendarmin, R. M. R. (2022). Mendeteksi Tingkat Kebangkrutan pada Perusahaan dengan Metode Zmijewski. Junal Ilmiah Ekonomi Global Masa Kini, 01, 1–6.</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Sudrajat, M. A., &amp; Wijayanti, E. (2019). Analisis Prediksi Kebangkrutan (Financial Distress) Dengan Perbandingan Model Altman, Zmijewski Dan Grover. Inventory: Jurnal Akuntansi, 3(2), 116–129. https://doi.org/10.25273/inventory.v3i2.5240</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Sugiyono, D. (2013). Metode Penelitian Kuantitatif, Kualitatif, dan Tindakan.</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 xml:space="preserve">Sunaryo Putri, D. P. (2018). Comparison of Bankruptcy Prediction Models Analysis </w:t>
      </w:r>
      <w:r w:rsidRPr="00E230B4">
        <w:rPr>
          <w:rFonts w:ascii="Arial" w:hAnsi="Arial" w:cs="Arial"/>
          <w:noProof/>
          <w:sz w:val="24"/>
          <w:szCs w:val="24"/>
        </w:rPr>
        <w:lastRenderedPageBreak/>
        <w:t>(Altman, Springate, Grover, Ohlson and Zmijewski) on Pt. Asuransi Harta Aman Pratama, Tbk. Economics &amp; Accounting Journal, 1(2), 156. https://doi.org/10.32493/eaj.v1i2.y2018.p156-165</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Tri Hardini, L., &amp; Maria R Pandin, N. (2021). Analisis Perbandingan Metode Springate (S-Score) dan Zmijewski (X-Score) dalam memprediksi Kebangkrutan Perusahaan. 44–52.</w:t>
      </w:r>
    </w:p>
    <w:p w:rsidR="00E230B4" w:rsidRPr="00E230B4" w:rsidRDefault="00E230B4" w:rsidP="00E230B4">
      <w:pPr>
        <w:autoSpaceDE w:val="0"/>
        <w:autoSpaceDN w:val="0"/>
        <w:adjustRightInd w:val="0"/>
        <w:ind w:left="990" w:hanging="480"/>
        <w:jc w:val="both"/>
        <w:rPr>
          <w:rFonts w:ascii="Arial" w:hAnsi="Arial" w:cs="Arial"/>
          <w:noProof/>
          <w:sz w:val="24"/>
          <w:szCs w:val="24"/>
        </w:rPr>
      </w:pPr>
      <w:r w:rsidRPr="00E230B4">
        <w:rPr>
          <w:rFonts w:ascii="Arial" w:hAnsi="Arial" w:cs="Arial"/>
          <w:noProof/>
          <w:sz w:val="24"/>
          <w:szCs w:val="24"/>
        </w:rPr>
        <w:t>Tuvadaratragool, S. (2013). The Role of Financial Ratios in Signalling Financial Distress : Evidence from Thai Listed Companies. Tesis. Southern Cross University., 216.</w:t>
      </w:r>
    </w:p>
    <w:p w:rsidR="00B31FB3" w:rsidRPr="00B31FB3" w:rsidRDefault="00E230B4" w:rsidP="00E230B4">
      <w:pPr>
        <w:autoSpaceDE w:val="0"/>
        <w:autoSpaceDN w:val="0"/>
        <w:adjustRightInd w:val="0"/>
        <w:ind w:left="990" w:hanging="480"/>
        <w:jc w:val="both"/>
        <w:rPr>
          <w:rFonts w:ascii="Arial" w:hAnsi="Arial" w:cs="Arial"/>
          <w:noProof/>
          <w:sz w:val="24"/>
        </w:rPr>
      </w:pPr>
      <w:r w:rsidRPr="00E230B4">
        <w:rPr>
          <w:rFonts w:ascii="Arial" w:hAnsi="Arial" w:cs="Arial"/>
          <w:noProof/>
          <w:sz w:val="24"/>
          <w:szCs w:val="24"/>
        </w:rPr>
        <w:t>Ulin Nuha, M., &amp; Purnomo, M. (2021). Analisis Kebangkrutan Perusahaan Asuransi Listing di Bursa Efek Indonesia. Akses: Jurnal Ekonomi Dan Bisnis, 16(2), 193–198. https://doi.org/10.35137/jei.v22i2.585</w:t>
      </w:r>
    </w:p>
    <w:p w:rsidR="00B31FB3" w:rsidRDefault="00B31FB3" w:rsidP="00B31FB3">
      <w:pPr>
        <w:pBdr>
          <w:top w:val="nil"/>
          <w:left w:val="nil"/>
          <w:bottom w:val="nil"/>
          <w:right w:val="nil"/>
          <w:between w:val="nil"/>
        </w:pBdr>
        <w:ind w:left="990"/>
        <w:jc w:val="both"/>
        <w:rPr>
          <w:rFonts w:ascii="Arial" w:eastAsia="Arial" w:hAnsi="Arial" w:cs="Arial"/>
          <w:color w:val="000000"/>
          <w:sz w:val="24"/>
          <w:szCs w:val="24"/>
        </w:rPr>
      </w:pPr>
      <w:r>
        <w:rPr>
          <w:rFonts w:ascii="Arial" w:eastAsia="Arial" w:hAnsi="Arial" w:cs="Arial"/>
          <w:color w:val="000000"/>
          <w:sz w:val="24"/>
          <w:szCs w:val="24"/>
        </w:rPr>
        <w:fldChar w:fldCharType="end"/>
      </w:r>
    </w:p>
    <w:sectPr w:rsidR="00B31FB3">
      <w:headerReference w:type="default" r:id="rId15"/>
      <w:footerReference w:type="default" r:id="rId16"/>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8B5" w:rsidRDefault="00EF48B5">
      <w:r>
        <w:separator/>
      </w:r>
    </w:p>
  </w:endnote>
  <w:endnote w:type="continuationSeparator" w:id="0">
    <w:p w:rsidR="00EF48B5" w:rsidRDefault="00EF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849154"/>
      <w:docPartObj>
        <w:docPartGallery w:val="Page Numbers (Bottom of Page)"/>
        <w:docPartUnique/>
      </w:docPartObj>
    </w:sdtPr>
    <w:sdtEndPr>
      <w:rPr>
        <w:noProof/>
      </w:rPr>
    </w:sdtEndPr>
    <w:sdtContent>
      <w:p w:rsidR="0073232D" w:rsidRDefault="0073232D">
        <w:pPr>
          <w:pStyle w:val="Footer"/>
          <w:jc w:val="center"/>
        </w:pPr>
        <w:r>
          <w:fldChar w:fldCharType="begin"/>
        </w:r>
        <w:r>
          <w:instrText xml:space="preserve"> PAGE   \* MERGEFORMAT </w:instrText>
        </w:r>
        <w:r>
          <w:fldChar w:fldCharType="separate"/>
        </w:r>
        <w:r w:rsidR="009C4E09">
          <w:rPr>
            <w:noProof/>
          </w:rPr>
          <w:t>10</w:t>
        </w:r>
        <w:r>
          <w:rPr>
            <w:noProof/>
          </w:rPr>
          <w:fldChar w:fldCharType="end"/>
        </w:r>
      </w:p>
    </w:sdtContent>
  </w:sdt>
  <w:p w:rsidR="0073232D" w:rsidRDefault="00732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999889"/>
      <w:docPartObj>
        <w:docPartGallery w:val="Page Numbers (Bottom of Page)"/>
        <w:docPartUnique/>
      </w:docPartObj>
    </w:sdtPr>
    <w:sdtEndPr>
      <w:rPr>
        <w:noProof/>
      </w:rPr>
    </w:sdtEndPr>
    <w:sdtContent>
      <w:p w:rsidR="0073232D" w:rsidRDefault="0073232D">
        <w:pPr>
          <w:pStyle w:val="Footer"/>
          <w:jc w:val="center"/>
        </w:pPr>
        <w:r>
          <w:fldChar w:fldCharType="begin"/>
        </w:r>
        <w:r>
          <w:instrText xml:space="preserve"> PAGE   \* MERGEFORMAT </w:instrText>
        </w:r>
        <w:r>
          <w:fldChar w:fldCharType="separate"/>
        </w:r>
        <w:r w:rsidR="009C4E09">
          <w:rPr>
            <w:noProof/>
          </w:rPr>
          <w:t>18</w:t>
        </w:r>
        <w:r>
          <w:rPr>
            <w:noProof/>
          </w:rPr>
          <w:fldChar w:fldCharType="end"/>
        </w:r>
      </w:p>
    </w:sdtContent>
  </w:sdt>
  <w:p w:rsidR="004D7521" w:rsidRDefault="004D7521">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8B5" w:rsidRDefault="00EF48B5">
      <w:r>
        <w:separator/>
      </w:r>
    </w:p>
  </w:footnote>
  <w:footnote w:type="continuationSeparator" w:id="0">
    <w:p w:rsidR="00EF48B5" w:rsidRDefault="00EF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21" w:rsidRDefault="004D7521">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lang w:val="en-US"/>
      </w:rPr>
      <mc:AlternateContent>
        <mc:Choice Requires="wps">
          <w:drawing>
            <wp:anchor distT="0" distB="0" distL="0" distR="0" simplePos="0" relativeHeight="251658240" behindDoc="1" locked="0" layoutInCell="1" hidden="0" allowOverlap="1">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A6347"/>
    <w:multiLevelType w:val="multilevel"/>
    <w:tmpl w:val="BBB20A24"/>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4F343E18"/>
    <w:multiLevelType w:val="hybridMultilevel"/>
    <w:tmpl w:val="BCCE9C4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6D5E76E9"/>
    <w:multiLevelType w:val="hybridMultilevel"/>
    <w:tmpl w:val="F12E16D2"/>
    <w:lvl w:ilvl="0" w:tplc="A29CA8F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48"/>
    <w:rsid w:val="00014957"/>
    <w:rsid w:val="000C5E32"/>
    <w:rsid w:val="00256220"/>
    <w:rsid w:val="00423145"/>
    <w:rsid w:val="004D7521"/>
    <w:rsid w:val="00516902"/>
    <w:rsid w:val="00603253"/>
    <w:rsid w:val="006B1E41"/>
    <w:rsid w:val="0073232D"/>
    <w:rsid w:val="00751486"/>
    <w:rsid w:val="008E42DE"/>
    <w:rsid w:val="009C4E09"/>
    <w:rsid w:val="009F78CC"/>
    <w:rsid w:val="00A01A28"/>
    <w:rsid w:val="00A76240"/>
    <w:rsid w:val="00B21847"/>
    <w:rsid w:val="00B31FB3"/>
    <w:rsid w:val="00B50E14"/>
    <w:rsid w:val="00B8077F"/>
    <w:rsid w:val="00D77A77"/>
    <w:rsid w:val="00E230B4"/>
    <w:rsid w:val="00E62AC3"/>
    <w:rsid w:val="00EB51CB"/>
    <w:rsid w:val="00EF48B5"/>
    <w:rsid w:val="00F15402"/>
    <w:rsid w:val="00F47D48"/>
    <w:rsid w:val="00F7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030FC-4349-4324-896D-9EE4BF3B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d-ID"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unhideWhenUsed/>
    <w:rsid w:val="00637F5F"/>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TOC4">
    <w:name w:val="toc 4"/>
    <w:basedOn w:val="Normal"/>
    <w:uiPriority w:val="1"/>
    <w:qFormat/>
    <w:rsid w:val="00516902"/>
    <w:pPr>
      <w:autoSpaceDE w:val="0"/>
      <w:autoSpaceDN w:val="0"/>
      <w:spacing w:before="137"/>
      <w:ind w:left="2257" w:hanging="540"/>
    </w:pPr>
    <w:rPr>
      <w:rFonts w:ascii="Times New Roman" w:eastAsia="Times New Roman" w:hAnsi="Times New Roman" w:cs="Times New Roman"/>
      <w:sz w:val="24"/>
      <w:szCs w:val="24"/>
      <w:lang w:val="id"/>
    </w:rPr>
  </w:style>
  <w:style w:type="table" w:styleId="TableGrid">
    <w:name w:val="Table Grid"/>
    <w:basedOn w:val="TableNormal"/>
    <w:uiPriority w:val="39"/>
    <w:unhideWhenUsed/>
    <w:rsid w:val="00E230B4"/>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3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ulinnuha@unwahas.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izinoi491@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ublikasiilmiah.unwahas.ac.id/index.php/IJMB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73ACF0-D73E-4236-A4B0-5D846E42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Microsoft account</cp:lastModifiedBy>
  <cp:revision>9</cp:revision>
  <dcterms:created xsi:type="dcterms:W3CDTF">2022-08-24T06:26:00Z</dcterms:created>
  <dcterms:modified xsi:type="dcterms:W3CDTF">2024-01-09T07:49:00Z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38189bed-3935-33a8-8db3-c2b84728bd61</vt:lpwstr>
  </property>
  <property fmtid="{D5CDD505-2E9C-101B-9397-08002B2CF9AE}" pid="27" name="Mendeley Citation Style_1">
    <vt:lpwstr>http://www.zotero.org/styles/apa</vt:lpwstr>
  </property>
</Properties>
</file>