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8928" w14:textId="555A9C65" w:rsidR="000753EB" w:rsidRPr="003846E9" w:rsidRDefault="000B019E" w:rsidP="003846E9">
      <w:pPr>
        <w:pStyle w:val="Heading3"/>
        <w:shd w:val="clear" w:color="auto" w:fill="FFFFFF"/>
        <w:spacing w:before="0"/>
        <w:ind w:right="240"/>
        <w:jc w:val="right"/>
        <w:rPr>
          <w:rFonts w:ascii="Tahoma" w:eastAsia="Times New Roman" w:hAnsi="Tahoma" w:cs="Tahoma"/>
          <w:color w:val="333333"/>
          <w:sz w:val="14"/>
          <w:szCs w:val="14"/>
          <w:lang w:val="en-ID" w:eastAsia="en-ID"/>
        </w:rPr>
      </w:pPr>
      <w:r w:rsidRPr="003846E9">
        <w:rPr>
          <w:rFonts w:ascii="Tahoma" w:hAnsi="Tahoma" w:cs="Tahoma"/>
          <w:noProof/>
          <w:spacing w:val="-35"/>
          <w:sz w:val="14"/>
          <w:szCs w:val="14"/>
        </w:rPr>
        <w:drawing>
          <wp:anchor distT="0" distB="0" distL="114300" distR="114300" simplePos="0" relativeHeight="251658240" behindDoc="0" locked="0" layoutInCell="1" allowOverlap="1" wp14:anchorId="57C79B69" wp14:editId="1FC8CB99">
            <wp:simplePos x="0" y="0"/>
            <wp:positionH relativeFrom="column">
              <wp:posOffset>5289550</wp:posOffset>
            </wp:positionH>
            <wp:positionV relativeFrom="paragraph">
              <wp:posOffset>0</wp:posOffset>
            </wp:positionV>
            <wp:extent cx="526415" cy="685800"/>
            <wp:effectExtent l="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685800"/>
                    </a:xfrm>
                    <a:prstGeom prst="rect">
                      <a:avLst/>
                    </a:prstGeom>
                    <a:noFill/>
                  </pic:spPr>
                </pic:pic>
              </a:graphicData>
            </a:graphic>
            <wp14:sizeRelH relativeFrom="page">
              <wp14:pctWidth>0</wp14:pctWidth>
            </wp14:sizeRelH>
            <wp14:sizeRelV relativeFrom="page">
              <wp14:pctHeight>0</wp14:pctHeight>
            </wp14:sizeRelV>
          </wp:anchor>
        </w:drawing>
      </w:r>
      <w:r w:rsidR="003846E9" w:rsidRPr="003846E9">
        <w:rPr>
          <w:rFonts w:ascii="Tahoma" w:eastAsia="Times New Roman" w:hAnsi="Tahoma" w:cs="Tahoma"/>
          <w:color w:val="333333"/>
          <w:sz w:val="14"/>
          <w:szCs w:val="14"/>
          <w:lang w:val="en-ID" w:eastAsia="en-ID"/>
        </w:rPr>
        <w:t>International Journal of Management, Business, and Social Sciences</w:t>
      </w:r>
      <w:r w:rsidR="003846E9" w:rsidRPr="003846E9">
        <w:rPr>
          <w:rFonts w:ascii="Tahoma" w:hAnsi="Tahoma" w:cs="Tahoma"/>
          <w:i/>
          <w:sz w:val="14"/>
          <w:szCs w:val="14"/>
        </w:rPr>
        <w:t xml:space="preserve"> </w:t>
      </w:r>
    </w:p>
    <w:p w14:paraId="2100914F" w14:textId="7D9DDDC7" w:rsidR="000753EB" w:rsidRPr="007A07F8" w:rsidRDefault="00D80DB2" w:rsidP="003846E9">
      <w:pPr>
        <w:ind w:right="1067"/>
        <w:jc w:val="right"/>
        <w:rPr>
          <w:rFonts w:ascii="Tahoma" w:hAnsi="Tahoma" w:cs="Tahoma"/>
          <w:iCs/>
          <w:sz w:val="14"/>
          <w:szCs w:val="14"/>
        </w:rPr>
      </w:pPr>
      <w:r w:rsidRPr="007A07F8">
        <w:rPr>
          <w:rFonts w:ascii="Tahoma" w:hAnsi="Tahoma" w:cs="Tahoma"/>
          <w:iCs/>
          <w:sz w:val="14"/>
          <w:szCs w:val="14"/>
        </w:rPr>
        <w:t>Vol.</w:t>
      </w:r>
      <w:r w:rsidRPr="007A07F8">
        <w:rPr>
          <w:rFonts w:ascii="Tahoma" w:hAnsi="Tahoma" w:cs="Tahoma"/>
          <w:iCs/>
          <w:spacing w:val="-4"/>
          <w:sz w:val="14"/>
          <w:szCs w:val="14"/>
        </w:rPr>
        <w:t xml:space="preserve"> </w:t>
      </w:r>
      <w:r w:rsidR="007A07F8" w:rsidRPr="007A07F8">
        <w:rPr>
          <w:rFonts w:ascii="Tahoma" w:hAnsi="Tahoma" w:cs="Tahoma"/>
          <w:iCs/>
          <w:sz w:val="14"/>
          <w:szCs w:val="14"/>
        </w:rPr>
        <w:t>1</w:t>
      </w:r>
      <w:r w:rsidRPr="007A07F8">
        <w:rPr>
          <w:rFonts w:ascii="Tahoma" w:hAnsi="Tahoma" w:cs="Tahoma"/>
          <w:iCs/>
          <w:sz w:val="14"/>
          <w:szCs w:val="14"/>
        </w:rPr>
        <w:t>,</w:t>
      </w:r>
      <w:r w:rsidRPr="007A07F8">
        <w:rPr>
          <w:rFonts w:ascii="Tahoma" w:hAnsi="Tahoma" w:cs="Tahoma"/>
          <w:iCs/>
          <w:spacing w:val="-1"/>
          <w:sz w:val="14"/>
          <w:szCs w:val="14"/>
        </w:rPr>
        <w:t xml:space="preserve"> </w:t>
      </w:r>
      <w:r w:rsidRPr="007A07F8">
        <w:rPr>
          <w:rFonts w:ascii="Tahoma" w:hAnsi="Tahoma" w:cs="Tahoma"/>
          <w:iCs/>
          <w:sz w:val="14"/>
          <w:szCs w:val="14"/>
        </w:rPr>
        <w:t>No.</w:t>
      </w:r>
      <w:r w:rsidRPr="007A07F8">
        <w:rPr>
          <w:rFonts w:ascii="Tahoma" w:hAnsi="Tahoma" w:cs="Tahoma"/>
          <w:iCs/>
          <w:spacing w:val="-2"/>
          <w:sz w:val="14"/>
          <w:szCs w:val="14"/>
        </w:rPr>
        <w:t xml:space="preserve"> </w:t>
      </w:r>
      <w:r w:rsidR="007A07F8">
        <w:rPr>
          <w:rFonts w:ascii="Tahoma" w:hAnsi="Tahoma" w:cs="Tahoma"/>
          <w:iCs/>
          <w:sz w:val="14"/>
          <w:szCs w:val="14"/>
        </w:rPr>
        <w:t>1</w:t>
      </w:r>
      <w:r w:rsidRPr="007A07F8">
        <w:rPr>
          <w:rFonts w:ascii="Tahoma" w:hAnsi="Tahoma" w:cs="Tahoma"/>
          <w:iCs/>
          <w:sz w:val="14"/>
          <w:szCs w:val="14"/>
        </w:rPr>
        <w:t>,</w:t>
      </w:r>
      <w:r w:rsidRPr="007A07F8">
        <w:rPr>
          <w:rFonts w:ascii="Tahoma" w:hAnsi="Tahoma" w:cs="Tahoma"/>
          <w:iCs/>
          <w:spacing w:val="-1"/>
          <w:sz w:val="14"/>
          <w:szCs w:val="14"/>
        </w:rPr>
        <w:t xml:space="preserve"> </w:t>
      </w:r>
      <w:r w:rsidRPr="007A07F8">
        <w:rPr>
          <w:rFonts w:ascii="Tahoma" w:hAnsi="Tahoma" w:cs="Tahoma"/>
          <w:iCs/>
          <w:sz w:val="14"/>
          <w:szCs w:val="14"/>
        </w:rPr>
        <w:t>202</w:t>
      </w:r>
      <w:r w:rsidR="007A07F8">
        <w:rPr>
          <w:rFonts w:ascii="Tahoma" w:hAnsi="Tahoma" w:cs="Tahoma"/>
          <w:iCs/>
          <w:sz w:val="14"/>
          <w:szCs w:val="14"/>
        </w:rPr>
        <w:t>2</w:t>
      </w:r>
      <w:r w:rsidRPr="007A07F8">
        <w:rPr>
          <w:rFonts w:ascii="Tahoma" w:hAnsi="Tahoma" w:cs="Tahoma"/>
          <w:iCs/>
          <w:sz w:val="14"/>
          <w:szCs w:val="14"/>
        </w:rPr>
        <w:t>,</w:t>
      </w:r>
      <w:r w:rsidRPr="007A07F8">
        <w:rPr>
          <w:rFonts w:ascii="Tahoma" w:hAnsi="Tahoma" w:cs="Tahoma"/>
          <w:iCs/>
          <w:spacing w:val="-2"/>
          <w:sz w:val="14"/>
          <w:szCs w:val="14"/>
        </w:rPr>
        <w:t xml:space="preserve"> </w:t>
      </w:r>
      <w:r w:rsidRPr="007A07F8">
        <w:rPr>
          <w:rFonts w:ascii="Tahoma" w:hAnsi="Tahoma" w:cs="Tahoma"/>
          <w:iCs/>
          <w:sz w:val="14"/>
          <w:szCs w:val="14"/>
        </w:rPr>
        <w:t>pp.</w:t>
      </w:r>
      <w:r w:rsidRPr="007A07F8">
        <w:rPr>
          <w:rFonts w:ascii="Tahoma" w:hAnsi="Tahoma" w:cs="Tahoma"/>
          <w:iCs/>
          <w:spacing w:val="-3"/>
          <w:sz w:val="14"/>
          <w:szCs w:val="14"/>
        </w:rPr>
        <w:t xml:space="preserve"> </w:t>
      </w:r>
      <w:r w:rsidR="007A07F8">
        <w:rPr>
          <w:rFonts w:ascii="Tahoma" w:hAnsi="Tahoma" w:cs="Tahoma"/>
          <w:iCs/>
          <w:spacing w:val="-3"/>
          <w:sz w:val="14"/>
          <w:szCs w:val="14"/>
        </w:rPr>
        <w:t>…</w:t>
      </w:r>
      <w:r w:rsidRPr="007A07F8">
        <w:rPr>
          <w:rFonts w:ascii="Tahoma" w:hAnsi="Tahoma" w:cs="Tahoma"/>
          <w:iCs/>
          <w:sz w:val="14"/>
          <w:szCs w:val="14"/>
        </w:rPr>
        <w:t>-</w:t>
      </w:r>
      <w:r w:rsidR="007A07F8">
        <w:rPr>
          <w:rFonts w:ascii="Tahoma" w:hAnsi="Tahoma" w:cs="Tahoma"/>
          <w:iCs/>
          <w:sz w:val="14"/>
          <w:szCs w:val="14"/>
        </w:rPr>
        <w:t>…</w:t>
      </w:r>
    </w:p>
    <w:p w14:paraId="22D23339" w14:textId="77777777" w:rsidR="003846E9" w:rsidRPr="003846E9" w:rsidRDefault="00D80DB2" w:rsidP="003846E9">
      <w:pPr>
        <w:ind w:left="4067" w:right="1063" w:hanging="848"/>
        <w:jc w:val="right"/>
        <w:rPr>
          <w:rFonts w:ascii="Tahoma" w:hAnsi="Tahoma" w:cs="Tahoma"/>
          <w:spacing w:val="-35"/>
          <w:sz w:val="14"/>
          <w:szCs w:val="14"/>
        </w:rPr>
      </w:pPr>
      <w:r w:rsidRPr="003846E9">
        <w:rPr>
          <w:rFonts w:ascii="Tahoma" w:hAnsi="Tahoma" w:cs="Tahoma"/>
          <w:sz w:val="14"/>
          <w:szCs w:val="14"/>
        </w:rPr>
        <w:t>Published by Department of Management, Faculty of Economics,</w:t>
      </w:r>
      <w:r w:rsidRPr="003846E9">
        <w:rPr>
          <w:rFonts w:ascii="Tahoma" w:hAnsi="Tahoma" w:cs="Tahoma"/>
          <w:spacing w:val="-35"/>
          <w:sz w:val="14"/>
          <w:szCs w:val="14"/>
        </w:rPr>
        <w:t xml:space="preserve"> </w:t>
      </w:r>
    </w:p>
    <w:p w14:paraId="2D544660" w14:textId="2A19396C" w:rsidR="003846E9" w:rsidRPr="003846E9" w:rsidRDefault="003846E9" w:rsidP="003846E9">
      <w:pPr>
        <w:ind w:left="4067" w:right="1063" w:hanging="848"/>
        <w:jc w:val="right"/>
        <w:rPr>
          <w:rFonts w:ascii="Tahoma" w:hAnsi="Tahoma" w:cs="Tahoma"/>
          <w:sz w:val="14"/>
          <w:szCs w:val="14"/>
        </w:rPr>
      </w:pPr>
      <w:r w:rsidRPr="003846E9">
        <w:rPr>
          <w:rFonts w:ascii="Tahoma" w:hAnsi="Tahoma" w:cs="Tahoma"/>
          <w:sz w:val="14"/>
          <w:szCs w:val="14"/>
        </w:rPr>
        <w:t>Universitas Wahid Hasyim</w:t>
      </w:r>
      <w:r w:rsidR="00D80DB2" w:rsidRPr="003846E9">
        <w:rPr>
          <w:rFonts w:ascii="Tahoma" w:hAnsi="Tahoma" w:cs="Tahoma"/>
          <w:sz w:val="14"/>
          <w:szCs w:val="14"/>
        </w:rPr>
        <w:t xml:space="preserve"> </w:t>
      </w:r>
    </w:p>
    <w:p w14:paraId="73D55E9D" w14:textId="22AAB2B4" w:rsidR="003846E9" w:rsidRPr="003846E9" w:rsidRDefault="00D80DB2" w:rsidP="003846E9">
      <w:pPr>
        <w:ind w:left="4067" w:right="1063" w:hanging="848"/>
        <w:jc w:val="right"/>
        <w:rPr>
          <w:rFonts w:ascii="Tahoma" w:hAnsi="Tahoma" w:cs="Tahoma"/>
          <w:spacing w:val="-35"/>
          <w:sz w:val="14"/>
          <w:szCs w:val="14"/>
        </w:rPr>
      </w:pPr>
      <w:r w:rsidRPr="003846E9">
        <w:rPr>
          <w:rFonts w:ascii="Tahoma" w:hAnsi="Tahoma" w:cs="Tahoma"/>
          <w:sz w:val="14"/>
          <w:szCs w:val="14"/>
        </w:rPr>
        <w:t xml:space="preserve">(p-ISSN: </w:t>
      </w:r>
      <w:r w:rsidR="00EA1371">
        <w:rPr>
          <w:rFonts w:ascii="Tahoma" w:hAnsi="Tahoma" w:cs="Tahoma"/>
          <w:sz w:val="14"/>
          <w:szCs w:val="14"/>
        </w:rPr>
        <w:t xml:space="preserve">……….. </w:t>
      </w:r>
      <w:r w:rsidRPr="003846E9">
        <w:rPr>
          <w:rFonts w:ascii="Tahoma" w:hAnsi="Tahoma" w:cs="Tahoma"/>
          <w:sz w:val="14"/>
          <w:szCs w:val="14"/>
        </w:rPr>
        <w:t xml:space="preserve">; e-ISSN: </w:t>
      </w:r>
      <w:r w:rsidR="00EA1371">
        <w:rPr>
          <w:rFonts w:ascii="Tahoma" w:hAnsi="Tahoma" w:cs="Tahoma"/>
          <w:sz w:val="14"/>
          <w:szCs w:val="14"/>
        </w:rPr>
        <w:t>……………..</w:t>
      </w:r>
      <w:r w:rsidRPr="003846E9">
        <w:rPr>
          <w:rFonts w:ascii="Tahoma" w:hAnsi="Tahoma" w:cs="Tahoma"/>
          <w:sz w:val="14"/>
          <w:szCs w:val="14"/>
        </w:rPr>
        <w:t>)</w:t>
      </w:r>
      <w:r w:rsidRPr="003846E9">
        <w:rPr>
          <w:rFonts w:ascii="Tahoma" w:hAnsi="Tahoma" w:cs="Tahoma"/>
          <w:spacing w:val="-35"/>
          <w:sz w:val="14"/>
          <w:szCs w:val="14"/>
        </w:rPr>
        <w:t xml:space="preserve"> </w:t>
      </w:r>
    </w:p>
    <w:p w14:paraId="2DD34C02" w14:textId="20580A8E" w:rsidR="000753EB" w:rsidRPr="003846E9" w:rsidRDefault="00D80DB2" w:rsidP="003846E9">
      <w:pPr>
        <w:ind w:left="4067" w:right="1063" w:hanging="848"/>
        <w:jc w:val="right"/>
        <w:rPr>
          <w:rFonts w:ascii="Tahoma" w:hAnsi="Tahoma" w:cs="Tahoma"/>
          <w:sz w:val="14"/>
          <w:szCs w:val="14"/>
        </w:rPr>
      </w:pPr>
      <w:r w:rsidRPr="003846E9">
        <w:rPr>
          <w:rFonts w:ascii="Tahoma" w:hAnsi="Tahoma" w:cs="Tahoma"/>
          <w:sz w:val="14"/>
          <w:szCs w:val="14"/>
        </w:rPr>
        <w:t>DOI:</w:t>
      </w:r>
      <w:r w:rsidRPr="003846E9">
        <w:rPr>
          <w:rFonts w:ascii="Tahoma" w:hAnsi="Tahoma" w:cs="Tahoma"/>
          <w:spacing w:val="12"/>
          <w:sz w:val="14"/>
          <w:szCs w:val="14"/>
        </w:rPr>
        <w:t xml:space="preserve"> </w:t>
      </w:r>
      <w:r w:rsidRPr="003846E9">
        <w:rPr>
          <w:rFonts w:ascii="Tahoma" w:hAnsi="Tahoma" w:cs="Tahoma"/>
          <w:sz w:val="14"/>
          <w:szCs w:val="14"/>
        </w:rPr>
        <w:t>https://doi.org/</w:t>
      </w:r>
      <w:r w:rsidR="00EA1371">
        <w:rPr>
          <w:rFonts w:ascii="Tahoma" w:hAnsi="Tahoma" w:cs="Tahoma"/>
          <w:sz w:val="14"/>
          <w:szCs w:val="14"/>
        </w:rPr>
        <w:t>......................</w:t>
      </w:r>
    </w:p>
    <w:p w14:paraId="0C7115D0" w14:textId="77777777" w:rsidR="000753EB" w:rsidRDefault="000753EB">
      <w:pPr>
        <w:pStyle w:val="BodyText"/>
        <w:spacing w:before="1"/>
        <w:rPr>
          <w:sz w:val="14"/>
        </w:rPr>
      </w:pPr>
    </w:p>
    <w:tbl>
      <w:tblPr>
        <w:tblW w:w="8865" w:type="dxa"/>
        <w:tblInd w:w="349" w:type="dxa"/>
        <w:tblLayout w:type="fixed"/>
        <w:tblCellMar>
          <w:left w:w="0" w:type="dxa"/>
          <w:right w:w="0" w:type="dxa"/>
        </w:tblCellMar>
        <w:tblLook w:val="01E0" w:firstRow="1" w:lastRow="1" w:firstColumn="1" w:lastColumn="1" w:noHBand="0" w:noVBand="0"/>
      </w:tblPr>
      <w:tblGrid>
        <w:gridCol w:w="2203"/>
        <w:gridCol w:w="6662"/>
      </w:tblGrid>
      <w:tr w:rsidR="000753EB" w14:paraId="0CF7DB78" w14:textId="77777777" w:rsidTr="00993C2B">
        <w:trPr>
          <w:trHeight w:val="2377"/>
        </w:trPr>
        <w:tc>
          <w:tcPr>
            <w:tcW w:w="8865" w:type="dxa"/>
            <w:gridSpan w:val="2"/>
            <w:tcBorders>
              <w:top w:val="single" w:sz="12" w:space="0" w:color="000000"/>
              <w:bottom w:val="single" w:sz="12" w:space="0" w:color="000000"/>
            </w:tcBorders>
          </w:tcPr>
          <w:p w14:paraId="3B74BB37" w14:textId="6222ED6B" w:rsidR="00647BAF" w:rsidRDefault="00647BAF" w:rsidP="00647BAF">
            <w:pPr>
              <w:adjustRightInd w:val="0"/>
              <w:ind w:left="74"/>
              <w:rPr>
                <w:rFonts w:ascii="Tahoma"/>
                <w:b/>
                <w:sz w:val="32"/>
              </w:rPr>
            </w:pPr>
            <w:r>
              <w:rPr>
                <w:rFonts w:ascii="Tahoma"/>
                <w:b/>
                <w:sz w:val="32"/>
              </w:rPr>
              <w:t>M</w:t>
            </w:r>
            <w:r w:rsidRPr="00647BAF">
              <w:rPr>
                <w:rFonts w:ascii="Tahoma"/>
                <w:b/>
                <w:sz w:val="32"/>
              </w:rPr>
              <w:t xml:space="preserve">ultiple </w:t>
            </w:r>
            <w:r w:rsidR="004063EC">
              <w:rPr>
                <w:rFonts w:ascii="Tahoma"/>
                <w:b/>
                <w:sz w:val="32"/>
              </w:rPr>
              <w:t>N</w:t>
            </w:r>
            <w:r w:rsidRPr="00647BAF">
              <w:rPr>
                <w:rFonts w:ascii="Tahoma"/>
                <w:b/>
                <w:sz w:val="32"/>
              </w:rPr>
              <w:t xml:space="preserve">etwork </w:t>
            </w:r>
            <w:r w:rsidR="004063EC">
              <w:rPr>
                <w:rFonts w:ascii="Tahoma"/>
                <w:b/>
                <w:sz w:val="32"/>
              </w:rPr>
              <w:t>I</w:t>
            </w:r>
            <w:r w:rsidRPr="00647BAF">
              <w:rPr>
                <w:rFonts w:ascii="Tahoma"/>
                <w:b/>
                <w:sz w:val="32"/>
              </w:rPr>
              <w:t xml:space="preserve">nteraction  in </w:t>
            </w:r>
            <w:r w:rsidR="004063EC">
              <w:rPr>
                <w:rFonts w:ascii="Tahoma"/>
                <w:b/>
                <w:sz w:val="32"/>
              </w:rPr>
              <w:t>D</w:t>
            </w:r>
            <w:r w:rsidRPr="00647BAF">
              <w:rPr>
                <w:rFonts w:ascii="Tahoma"/>
                <w:b/>
                <w:sz w:val="32"/>
              </w:rPr>
              <w:t>estination</w:t>
            </w:r>
            <w:r>
              <w:rPr>
                <w:rFonts w:ascii="Tahoma"/>
                <w:b/>
                <w:sz w:val="32"/>
              </w:rPr>
              <w:t xml:space="preserve"> </w:t>
            </w:r>
            <w:r w:rsidR="004063EC">
              <w:rPr>
                <w:rFonts w:ascii="Tahoma"/>
                <w:b/>
                <w:sz w:val="32"/>
              </w:rPr>
              <w:t>C</w:t>
            </w:r>
            <w:r w:rsidRPr="00647BAF">
              <w:rPr>
                <w:rFonts w:ascii="Tahoma"/>
                <w:b/>
                <w:sz w:val="32"/>
              </w:rPr>
              <w:t xml:space="preserve">ompetitive </w:t>
            </w:r>
            <w:r w:rsidR="004063EC">
              <w:rPr>
                <w:rFonts w:ascii="Tahoma"/>
                <w:b/>
                <w:sz w:val="32"/>
              </w:rPr>
              <w:t>A</w:t>
            </w:r>
            <w:r w:rsidRPr="00647BAF">
              <w:rPr>
                <w:rFonts w:ascii="Tahoma"/>
                <w:b/>
                <w:sz w:val="32"/>
              </w:rPr>
              <w:t>dvantage</w:t>
            </w:r>
          </w:p>
          <w:p w14:paraId="72787A5A" w14:textId="77777777" w:rsidR="002E3795" w:rsidRPr="002E3795" w:rsidRDefault="002E3795" w:rsidP="002E3795">
            <w:pPr>
              <w:rPr>
                <w:rFonts w:ascii="Times New Roman" w:hAnsi="Times New Roman" w:cs="Times New Roman"/>
                <w:b/>
                <w:sz w:val="24"/>
                <w:szCs w:val="24"/>
              </w:rPr>
            </w:pPr>
          </w:p>
          <w:p w14:paraId="730DBDA7" w14:textId="430453DB" w:rsidR="000753EB" w:rsidRDefault="00647BAF">
            <w:pPr>
              <w:pStyle w:val="TableParagraph"/>
              <w:ind w:left="108"/>
              <w:rPr>
                <w:rFonts w:ascii="Arial"/>
                <w:b/>
                <w:sz w:val="13"/>
              </w:rPr>
            </w:pPr>
            <w:r>
              <w:rPr>
                <w:rFonts w:ascii="Arial"/>
                <w:b/>
                <w:w w:val="80"/>
                <w:sz w:val="20"/>
              </w:rPr>
              <w:t>Hasan</w:t>
            </w:r>
          </w:p>
          <w:p w14:paraId="7131A694" w14:textId="77777777" w:rsidR="000753EB" w:rsidRDefault="000753EB">
            <w:pPr>
              <w:pStyle w:val="TableParagraph"/>
              <w:spacing w:before="6"/>
              <w:rPr>
                <w:rFonts w:ascii="Microsoft Sans Serif"/>
                <w:sz w:val="21"/>
              </w:rPr>
            </w:pPr>
          </w:p>
          <w:p w14:paraId="18D05FCC" w14:textId="57799304" w:rsidR="000753EB" w:rsidRDefault="00D80DB2">
            <w:pPr>
              <w:pStyle w:val="TableParagraph"/>
              <w:spacing w:before="1"/>
              <w:ind w:left="108"/>
              <w:rPr>
                <w:rFonts w:ascii="Verdana"/>
                <w:i/>
                <w:sz w:val="14"/>
              </w:rPr>
            </w:pPr>
            <w:r>
              <w:rPr>
                <w:rFonts w:ascii="Verdana"/>
                <w:i/>
                <w:position w:val="5"/>
                <w:sz w:val="9"/>
              </w:rPr>
              <w:t>1</w:t>
            </w:r>
            <w:r>
              <w:rPr>
                <w:rFonts w:ascii="Verdana"/>
                <w:i/>
                <w:sz w:val="14"/>
              </w:rPr>
              <w:t>Department</w:t>
            </w:r>
            <w:r>
              <w:rPr>
                <w:rFonts w:ascii="Verdana"/>
                <w:i/>
                <w:spacing w:val="-4"/>
                <w:sz w:val="14"/>
              </w:rPr>
              <w:t xml:space="preserve"> </w:t>
            </w:r>
            <w:r>
              <w:rPr>
                <w:rFonts w:ascii="Verdana"/>
                <w:i/>
                <w:sz w:val="14"/>
              </w:rPr>
              <w:t>of</w:t>
            </w:r>
            <w:r>
              <w:rPr>
                <w:rFonts w:ascii="Verdana"/>
                <w:i/>
                <w:spacing w:val="-4"/>
                <w:sz w:val="14"/>
              </w:rPr>
              <w:t xml:space="preserve"> </w:t>
            </w:r>
            <w:r>
              <w:rPr>
                <w:rFonts w:ascii="Verdana"/>
                <w:i/>
                <w:sz w:val="14"/>
              </w:rPr>
              <w:t>Management,</w:t>
            </w:r>
            <w:r>
              <w:rPr>
                <w:rFonts w:ascii="Verdana"/>
                <w:i/>
                <w:spacing w:val="-3"/>
                <w:sz w:val="14"/>
              </w:rPr>
              <w:t xml:space="preserve"> </w:t>
            </w:r>
            <w:r>
              <w:rPr>
                <w:rFonts w:ascii="Verdana"/>
                <w:i/>
                <w:sz w:val="14"/>
              </w:rPr>
              <w:t>Faculty</w:t>
            </w:r>
            <w:r>
              <w:rPr>
                <w:rFonts w:ascii="Verdana"/>
                <w:i/>
                <w:spacing w:val="-6"/>
                <w:sz w:val="14"/>
              </w:rPr>
              <w:t xml:space="preserve"> </w:t>
            </w:r>
            <w:r>
              <w:rPr>
                <w:rFonts w:ascii="Verdana"/>
                <w:i/>
                <w:sz w:val="14"/>
              </w:rPr>
              <w:t>of</w:t>
            </w:r>
            <w:r>
              <w:rPr>
                <w:rFonts w:ascii="Verdana"/>
                <w:i/>
                <w:spacing w:val="-7"/>
                <w:sz w:val="14"/>
              </w:rPr>
              <w:t xml:space="preserve"> </w:t>
            </w:r>
            <w:r>
              <w:rPr>
                <w:rFonts w:ascii="Verdana"/>
                <w:i/>
                <w:sz w:val="14"/>
              </w:rPr>
              <w:t>Economics,</w:t>
            </w:r>
            <w:r>
              <w:rPr>
                <w:rFonts w:ascii="Verdana"/>
                <w:i/>
                <w:spacing w:val="-4"/>
                <w:sz w:val="14"/>
              </w:rPr>
              <w:t xml:space="preserve"> </w:t>
            </w:r>
            <w:r>
              <w:rPr>
                <w:rFonts w:ascii="Verdana"/>
                <w:i/>
                <w:sz w:val="14"/>
              </w:rPr>
              <w:t>Universitas</w:t>
            </w:r>
            <w:r>
              <w:rPr>
                <w:rFonts w:ascii="Verdana"/>
                <w:i/>
                <w:spacing w:val="-5"/>
                <w:sz w:val="14"/>
              </w:rPr>
              <w:t xml:space="preserve"> </w:t>
            </w:r>
            <w:r w:rsidR="00B85A42">
              <w:rPr>
                <w:rFonts w:ascii="Verdana"/>
                <w:i/>
                <w:sz w:val="14"/>
              </w:rPr>
              <w:t>Wahid Hasyim</w:t>
            </w:r>
            <w:r>
              <w:rPr>
                <w:rFonts w:ascii="Verdana"/>
                <w:i/>
                <w:sz w:val="14"/>
              </w:rPr>
              <w:t>,</w:t>
            </w:r>
            <w:r>
              <w:rPr>
                <w:rFonts w:ascii="Verdana"/>
                <w:i/>
                <w:spacing w:val="-4"/>
                <w:sz w:val="14"/>
              </w:rPr>
              <w:t xml:space="preserve"> </w:t>
            </w:r>
            <w:r>
              <w:rPr>
                <w:rFonts w:ascii="Verdana"/>
                <w:i/>
                <w:sz w:val="14"/>
              </w:rPr>
              <w:t>Indonesia</w:t>
            </w:r>
          </w:p>
        </w:tc>
      </w:tr>
      <w:tr w:rsidR="000753EB" w14:paraId="467A49A0" w14:textId="77777777" w:rsidTr="00647BAF">
        <w:trPr>
          <w:trHeight w:val="2339"/>
        </w:trPr>
        <w:tc>
          <w:tcPr>
            <w:tcW w:w="2203" w:type="dxa"/>
            <w:tcBorders>
              <w:top w:val="single" w:sz="12" w:space="0" w:color="000000"/>
              <w:bottom w:val="single" w:sz="12" w:space="0" w:color="000000"/>
            </w:tcBorders>
          </w:tcPr>
          <w:p w14:paraId="79E8D06D" w14:textId="77777777" w:rsidR="000753EB" w:rsidRDefault="000753EB">
            <w:pPr>
              <w:pStyle w:val="TableParagraph"/>
              <w:spacing w:before="33"/>
              <w:ind w:left="108"/>
              <w:rPr>
                <w:rFonts w:ascii="Tahoma"/>
                <w:b/>
                <w:sz w:val="18"/>
              </w:rPr>
            </w:pPr>
          </w:p>
          <w:p w14:paraId="125D7CE2" w14:textId="77777777" w:rsidR="0034785D" w:rsidRDefault="0034785D" w:rsidP="00647BAF">
            <w:pPr>
              <w:pStyle w:val="TableParagraph"/>
              <w:spacing w:before="33"/>
              <w:rPr>
                <w:sz w:val="18"/>
                <w:szCs w:val="18"/>
              </w:rPr>
            </w:pPr>
          </w:p>
          <w:p w14:paraId="3A45BF59" w14:textId="6D2C64D9" w:rsidR="00993C2B" w:rsidRPr="00993C2B" w:rsidRDefault="0034785D">
            <w:pPr>
              <w:pStyle w:val="TableParagraph"/>
              <w:spacing w:before="33"/>
              <w:ind w:left="108"/>
              <w:rPr>
                <w:sz w:val="18"/>
                <w:szCs w:val="18"/>
              </w:rPr>
            </w:pPr>
            <w:r>
              <w:rPr>
                <w:sz w:val="18"/>
                <w:szCs w:val="18"/>
              </w:rPr>
              <w:t>Key word :</w:t>
            </w:r>
          </w:p>
          <w:p w14:paraId="1E5F761F" w14:textId="4E375E82" w:rsidR="00647BAF" w:rsidRPr="00647BAF" w:rsidRDefault="00647BAF" w:rsidP="00647BAF">
            <w:pPr>
              <w:adjustRightInd w:val="0"/>
              <w:ind w:left="82"/>
              <w:jc w:val="both"/>
              <w:rPr>
                <w:rFonts w:ascii="Arial MT" w:eastAsia="Arial MT" w:hAnsi="Arial MT" w:cs="Arial MT"/>
                <w:w w:val="80"/>
                <w:sz w:val="20"/>
              </w:rPr>
            </w:pPr>
            <w:r w:rsidRPr="00647BAF">
              <w:rPr>
                <w:rFonts w:ascii="Arial MT" w:eastAsia="Arial MT" w:hAnsi="Arial MT" w:cs="Arial MT"/>
                <w:w w:val="80"/>
                <w:sz w:val="20"/>
              </w:rPr>
              <w:t>destination competitive advantage</w:t>
            </w:r>
            <w:r>
              <w:rPr>
                <w:rFonts w:ascii="Arial MT" w:eastAsia="Arial MT" w:hAnsi="Arial MT" w:cs="Arial MT"/>
                <w:w w:val="80"/>
                <w:sz w:val="20"/>
              </w:rPr>
              <w:t xml:space="preserve">; </w:t>
            </w:r>
            <w:r w:rsidRPr="00647BAF">
              <w:rPr>
                <w:rFonts w:ascii="Arial MT" w:eastAsia="Arial MT" w:hAnsi="Arial MT" w:cs="Arial MT"/>
                <w:w w:val="80"/>
                <w:sz w:val="20"/>
              </w:rPr>
              <w:t>multiple network interaction</w:t>
            </w:r>
            <w:r>
              <w:rPr>
                <w:rFonts w:ascii="Arial MT" w:eastAsia="Arial MT" w:hAnsi="Arial MT" w:cs="Arial MT"/>
                <w:w w:val="80"/>
                <w:sz w:val="20"/>
              </w:rPr>
              <w:t>;</w:t>
            </w:r>
            <w:r w:rsidRPr="00647BAF">
              <w:rPr>
                <w:rFonts w:ascii="Arial MT" w:eastAsia="Arial MT" w:hAnsi="Arial MT" w:cs="Arial MT"/>
                <w:w w:val="80"/>
                <w:sz w:val="20"/>
              </w:rPr>
              <w:t xml:space="preserve"> crowdworking, </w:t>
            </w:r>
          </w:p>
          <w:p w14:paraId="1BAB5394" w14:textId="66687726" w:rsidR="00647BAF" w:rsidRDefault="00647BAF">
            <w:pPr>
              <w:pStyle w:val="TableParagraph"/>
              <w:spacing w:before="33"/>
              <w:ind w:left="108"/>
              <w:rPr>
                <w:rFonts w:ascii="Tahoma"/>
                <w:b/>
                <w:sz w:val="18"/>
              </w:rPr>
            </w:pPr>
          </w:p>
        </w:tc>
        <w:tc>
          <w:tcPr>
            <w:tcW w:w="6662" w:type="dxa"/>
            <w:tcBorders>
              <w:top w:val="single" w:sz="12" w:space="0" w:color="000000"/>
              <w:bottom w:val="single" w:sz="12" w:space="0" w:color="000000"/>
            </w:tcBorders>
          </w:tcPr>
          <w:p w14:paraId="5F102ACC" w14:textId="1205BDF0" w:rsidR="00993C2B" w:rsidRPr="002E3795" w:rsidRDefault="00993C2B">
            <w:pPr>
              <w:pStyle w:val="TableParagraph"/>
              <w:ind w:left="546" w:right="109"/>
              <w:jc w:val="both"/>
              <w:rPr>
                <w:w w:val="80"/>
                <w:sz w:val="20"/>
              </w:rPr>
            </w:pPr>
            <w:r w:rsidRPr="002E3795">
              <w:rPr>
                <w:w w:val="80"/>
                <w:sz w:val="20"/>
              </w:rPr>
              <w:t>Abstract</w:t>
            </w:r>
          </w:p>
          <w:p w14:paraId="1EB22D7E" w14:textId="45FB0E94" w:rsidR="000753EB" w:rsidRPr="002E3795" w:rsidRDefault="000753EB" w:rsidP="002E3795">
            <w:pPr>
              <w:pStyle w:val="TableParagraph"/>
              <w:ind w:right="109"/>
              <w:jc w:val="both"/>
              <w:rPr>
                <w:w w:val="80"/>
                <w:sz w:val="20"/>
              </w:rPr>
            </w:pPr>
          </w:p>
          <w:p w14:paraId="16B20519" w14:textId="0605B2F2" w:rsidR="00647BAF" w:rsidRPr="00647BAF" w:rsidRDefault="00647BAF" w:rsidP="00647BAF">
            <w:pPr>
              <w:adjustRightInd w:val="0"/>
              <w:ind w:left="574"/>
              <w:jc w:val="both"/>
              <w:rPr>
                <w:rFonts w:ascii="Arial MT" w:eastAsia="Arial MT" w:hAnsi="Arial MT" w:cs="Arial MT"/>
                <w:w w:val="80"/>
                <w:sz w:val="20"/>
              </w:rPr>
            </w:pPr>
            <w:r w:rsidRPr="00647BAF">
              <w:rPr>
                <w:rFonts w:ascii="Arial MT" w:eastAsia="Arial MT" w:hAnsi="Arial MT" w:cs="Arial MT"/>
                <w:w w:val="80"/>
                <w:sz w:val="20"/>
              </w:rPr>
              <w:t>This research provides a complete model of entrepreneurial learning enhancement and focus on the importance of multiple network interaction factors in creating a destination competitive advantage. The proposed model contributes to the theory of social exchange, learning organization, dynamic capability and knowledge management into the context of marketing strategies and sustainable tourism development. This study aims to determine how entrepreneurial learning will produce potential multiple network interactions to create a tourism competitive advantage.</w:t>
            </w:r>
          </w:p>
        </w:tc>
      </w:tr>
    </w:tbl>
    <w:p w14:paraId="08B6AFD1" w14:textId="77777777" w:rsidR="000753EB" w:rsidRDefault="000753EB">
      <w:pPr>
        <w:rPr>
          <w:sz w:val="25"/>
        </w:rPr>
        <w:sectPr w:rsidR="000753EB">
          <w:type w:val="continuous"/>
          <w:pgSz w:w="11900" w:h="16850"/>
          <w:pgMar w:top="300" w:right="1340" w:bottom="280" w:left="1360" w:header="720" w:footer="720" w:gutter="0"/>
          <w:cols w:space="720"/>
        </w:sectPr>
      </w:pPr>
    </w:p>
    <w:p w14:paraId="51A6819F" w14:textId="7AD51E64" w:rsidR="00FB48D6" w:rsidRDefault="00D80DB2" w:rsidP="00FB48D6">
      <w:pPr>
        <w:pStyle w:val="Heading2"/>
        <w:spacing w:before="99"/>
        <w:ind w:right="128"/>
      </w:pPr>
      <w:r>
        <w:t>INTRODUCTION</w:t>
      </w:r>
    </w:p>
    <w:p w14:paraId="67D59050" w14:textId="77777777" w:rsidR="00647BAF" w:rsidRPr="00647BAF" w:rsidRDefault="00647BAF" w:rsidP="00647BAF">
      <w:pPr>
        <w:adjustRightInd w:val="0"/>
        <w:spacing w:line="276" w:lineRule="auto"/>
        <w:ind w:left="342" w:firstLine="367"/>
        <w:jc w:val="both"/>
        <w:rPr>
          <w:sz w:val="20"/>
          <w:szCs w:val="20"/>
        </w:rPr>
      </w:pPr>
      <w:r w:rsidRPr="00647BAF">
        <w:rPr>
          <w:sz w:val="20"/>
          <w:szCs w:val="20"/>
        </w:rPr>
        <w:t>Knowledge 4.0 is a social stage where the application of technology imply in all part of human life and leads to “digital ubiquity” and also contributes to value creation. The researchers found if the development of knowledge started from the era of “Age of Reason” (Knowledge 1.0); the “Age of Reason” where in the 18th century the “Industrial Society” grew rapidly and known as the Knowledge 2.0 era; followed in the 20th century where information and knowledge became the dominant factor and was called the “Information and Knowledge Society” era (Knowledge 3.0); to enter the era of "digitized knowledge society" (Knowledge 4.0), where digital transformation strategies are brought to a different perspective and have different goals (Macmillan, et.al (2017).</w:t>
      </w:r>
    </w:p>
    <w:p w14:paraId="070E4194" w14:textId="77777777" w:rsidR="00647BAF" w:rsidRPr="00647BAF" w:rsidRDefault="00647BAF" w:rsidP="00647BAF">
      <w:pPr>
        <w:adjustRightInd w:val="0"/>
        <w:spacing w:line="276" w:lineRule="auto"/>
        <w:ind w:left="342" w:firstLine="367"/>
        <w:jc w:val="both"/>
        <w:rPr>
          <w:sz w:val="20"/>
          <w:szCs w:val="20"/>
        </w:rPr>
      </w:pPr>
      <w:r w:rsidRPr="00647BAF">
        <w:rPr>
          <w:sz w:val="20"/>
          <w:szCs w:val="20"/>
        </w:rPr>
        <w:t>Present era, industrial field is construct by the complexity of global industry growth, the explosion of information, the speed of decision-making, the value and movement of core employees. In the service industry, where the human factor and information are the main drivers in the movement of the economy, these three things require effective knowledge and management to be carried out with special attention (Kaplan dan Haenlein 2010).</w:t>
      </w:r>
    </w:p>
    <w:p w14:paraId="48F68F8D" w14:textId="77777777" w:rsidR="00647BAF" w:rsidRPr="00647BAF" w:rsidRDefault="00647BAF" w:rsidP="00647BAF">
      <w:pPr>
        <w:spacing w:line="276" w:lineRule="auto"/>
        <w:ind w:left="342" w:firstLine="367"/>
        <w:jc w:val="both"/>
        <w:rPr>
          <w:sz w:val="20"/>
          <w:szCs w:val="20"/>
        </w:rPr>
      </w:pPr>
      <w:r w:rsidRPr="00647BAF">
        <w:rPr>
          <w:sz w:val="20"/>
          <w:szCs w:val="20"/>
        </w:rPr>
        <w:t xml:space="preserve">Entrepreneurship is major contributor to global economic growth. Organizational learning has a very positive influence on knowledge-sharing behavior </w:t>
      </w:r>
      <w:r w:rsidRPr="00647BAF">
        <w:rPr>
          <w:sz w:val="20"/>
          <w:szCs w:val="20"/>
        </w:rPr>
        <w:fldChar w:fldCharType="begin"/>
      </w:r>
      <w:r w:rsidRPr="00647BAF">
        <w:rPr>
          <w:sz w:val="20"/>
          <w:szCs w:val="20"/>
        </w:rPr>
        <w:instrText xml:space="preserve"> ADDIN EN.CITE &lt;EndNote&gt;&lt;Cite&gt;&lt;Author&gt;Kamya&lt;/Author&gt;&lt;Year&gt;2011&lt;/Year&gt;&lt;RecNum&gt;14384&lt;/RecNum&gt;&lt;DisplayText&gt;(Kamya, Ntayi et al. 2011)&lt;/DisplayText&gt;&lt;record&gt;&lt;rec-number&gt;14384&lt;/rec-number&gt;&lt;foreign-keys&gt;&lt;key app="EN" db-id="e2fw222f1azpvrewpa159x5yrrdwertvtxw0"&gt;14384&lt;/key&gt;&lt;/foreign-keys&gt;&lt;ref-type name="Journal Article"&gt;17&lt;/ref-type&gt;&lt;contributors&gt;&lt;authors&gt;&lt;author&gt;Moses Tahate Kamya&lt;/author&gt;&lt;author&gt;Joseph Mpeera Ntayi&lt;/author&gt;&lt;author&gt;Augustine Ahiauzu&lt;/author&gt;&lt;/authors&gt;&lt;/contributors&gt;&lt;titles&gt;&lt;title&gt;Organisational learning and competitive advantage: testing for the interacting influence of knowledge management and innovation&lt;/title&gt;&lt;secondary-title&gt;Int. J. Innovation and Learning, &lt;/secondary-title&gt;&lt;/titles&gt;&lt;periodical&gt;&lt;full-title&gt;Int. J. Innovation and Learning,&lt;/full-title&gt;&lt;/periodical&gt;&lt;volume&gt;Vol. 10, No. 4&lt;/volume&gt;&lt;dates&gt;&lt;year&gt;2011&lt;/year&gt;&lt;/dates&gt;&lt;urls&gt;&lt;/urls&gt;&lt;/record&gt;&lt;/Cite&gt;&lt;/EndNote&gt;</w:instrText>
      </w:r>
      <w:r w:rsidRPr="00647BAF">
        <w:rPr>
          <w:sz w:val="20"/>
          <w:szCs w:val="20"/>
        </w:rPr>
        <w:fldChar w:fldCharType="separate"/>
      </w:r>
      <w:r w:rsidRPr="00647BAF">
        <w:rPr>
          <w:sz w:val="20"/>
          <w:szCs w:val="20"/>
        </w:rPr>
        <w:t>(</w:t>
      </w:r>
      <w:hyperlink r:id="rId9" w:anchor="_ENREF_32" w:tooltip="Kamya, 2011 #14384" w:history="1">
        <w:r w:rsidRPr="00647BAF">
          <w:rPr>
            <w:sz w:val="20"/>
            <w:szCs w:val="20"/>
          </w:rPr>
          <w:t>Kamya, Ntayi et al. 2011</w:t>
        </w:r>
      </w:hyperlink>
      <w:r w:rsidRPr="00647BAF">
        <w:rPr>
          <w:sz w:val="20"/>
          <w:szCs w:val="20"/>
        </w:rPr>
        <w:t>)</w:t>
      </w:r>
      <w:r w:rsidRPr="00647BAF">
        <w:rPr>
          <w:sz w:val="20"/>
          <w:szCs w:val="20"/>
        </w:rPr>
        <w:fldChar w:fldCharType="end"/>
      </w:r>
      <w:r w:rsidRPr="00647BAF">
        <w:rPr>
          <w:sz w:val="20"/>
          <w:szCs w:val="20"/>
        </w:rPr>
        <w:t xml:space="preserve">. Entrepreneurial Learning is a variety of experiential and cognitive processes used to acquire, retain, use and share entrepreneurial knowledge </w:t>
      </w:r>
      <w:r w:rsidRPr="00647BAF">
        <w:rPr>
          <w:sz w:val="20"/>
          <w:szCs w:val="20"/>
        </w:rPr>
        <w:fldChar w:fldCharType="begin"/>
      </w:r>
      <w:r w:rsidRPr="00647BAF">
        <w:rPr>
          <w:sz w:val="20"/>
          <w:szCs w:val="20"/>
        </w:rPr>
        <w:instrText xml:space="preserve"> ADDIN EN.CITE &lt;EndNote&gt;&lt;Cite&gt;&lt;Author&gt;Ernest&lt;/Author&gt;&lt;Year&gt;2015&lt;/Year&gt;&lt;RecNum&gt;14380&lt;/RecNum&gt;&lt;DisplayText&gt;(Ernest, Matthew et al. 2015)&lt;/DisplayText&gt;&lt;record&gt;&lt;rec-number&gt;14380&lt;/rec-number&gt;&lt;foreign-keys&gt;&lt;key app="EN" db-id="e2fw222f1azpvrewpa159x5yrrdwertvtxw0"&gt;14380&lt;/key&gt;&lt;key app="ENWeb" db-id=""&gt;0&lt;/key&gt;&lt;/foreign-keys&gt;&lt;ref-type name="Journal Article"&gt;17&lt;/ref-type&gt;&lt;contributors&gt;&lt;authors&gt;&lt;author&gt;Ernest, Kissi&lt;/author&gt;&lt;author&gt;Matthew, Somiah K.&lt;/author&gt;&lt;author&gt;Samuel, Ansah K.&lt;/author&gt;&lt;/authors&gt;&lt;/contributors&gt;&lt;titles&gt;&lt;title&gt;Towards Entrepreneurial Learning Competencies: The Perspective of Built Environment Students&lt;/title&gt;&lt;secondary-title&gt;Higher Education Studies&lt;/secondary-title&gt;&lt;/titles&gt;&lt;periodical&gt;&lt;full-title&gt;Higher Education Studies&lt;/full-title&gt;&lt;/periodical&gt;&lt;volume&gt;5&lt;/volume&gt;&lt;number&gt;1&lt;/number&gt;&lt;dates&gt;&lt;year&gt;2015&lt;/year&gt;&lt;/dates&gt;&lt;isbn&gt;1925-475X&amp;#xD;1925-4741&lt;/isbn&gt;&lt;urls&gt;&lt;/urls&gt;&lt;electronic-resource-num&gt;10.5539/hes.v5n1p20&lt;/electronic-resource-num&gt;&lt;/record&gt;&lt;/Cite&gt;&lt;/EndNote&gt;</w:instrText>
      </w:r>
      <w:r w:rsidRPr="00647BAF">
        <w:rPr>
          <w:sz w:val="20"/>
          <w:szCs w:val="20"/>
        </w:rPr>
        <w:fldChar w:fldCharType="separate"/>
      </w:r>
      <w:r w:rsidRPr="00647BAF">
        <w:rPr>
          <w:sz w:val="20"/>
          <w:szCs w:val="20"/>
        </w:rPr>
        <w:t>(</w:t>
      </w:r>
      <w:hyperlink r:id="rId10" w:anchor="_ENREF_20" w:tooltip="Ernest, 2015 #14380" w:history="1">
        <w:r w:rsidRPr="00647BAF">
          <w:rPr>
            <w:sz w:val="20"/>
            <w:szCs w:val="20"/>
          </w:rPr>
          <w:t>Ernest, Matthew et al. 2015</w:t>
        </w:r>
      </w:hyperlink>
      <w:r w:rsidRPr="00647BAF">
        <w:rPr>
          <w:sz w:val="20"/>
          <w:szCs w:val="20"/>
        </w:rPr>
        <w:t>)</w:t>
      </w:r>
      <w:r w:rsidRPr="00647BAF">
        <w:rPr>
          <w:sz w:val="20"/>
          <w:szCs w:val="20"/>
        </w:rPr>
        <w:fldChar w:fldCharType="end"/>
      </w:r>
      <w:r w:rsidRPr="00647BAF">
        <w:rPr>
          <w:sz w:val="20"/>
          <w:szCs w:val="20"/>
        </w:rPr>
        <w:t xml:space="preserve">. A learning process that explores and exploits existing opportunities allows an entrepreneur to respond to market conditions and determine the renewal strategy that will carried out as an innovation step </w:t>
      </w:r>
      <w:r w:rsidRPr="00647BAF">
        <w:rPr>
          <w:sz w:val="20"/>
          <w:szCs w:val="20"/>
        </w:rPr>
        <w:fldChar w:fldCharType="begin"/>
      </w:r>
      <w:r w:rsidRPr="00647BAF">
        <w:rPr>
          <w:sz w:val="20"/>
          <w:szCs w:val="20"/>
        </w:rPr>
        <w:instrText xml:space="preserve"> ADDIN EN.CITE &lt;EndNote&gt;&lt;Cite&gt;&lt;Author&gt;Sheng&lt;/Author&gt;&lt;Year&gt;2016&lt;/Year&gt;&lt;RecNum&gt;9599&lt;/RecNum&gt;&lt;DisplayText&gt;(Sheng and Chien 2016)&lt;/DisplayText&gt;&lt;record&gt;&lt;rec-number&gt;9599&lt;/rec-number&gt;&lt;foreign-keys&gt;&lt;key app="EN" db-id="e2fw222f1azpvrewpa159x5yrrdwertvtxw0"&gt;9599&lt;/key&gt;&lt;key app="ENWeb" db-id=""&gt;0&lt;/key&gt;&lt;/foreign-keys&gt;&lt;ref-type name="Journal Article"&gt;17&lt;/ref-type&gt;&lt;contributors&gt;&lt;authors&gt;&lt;author&gt;Sheng, Margaret L.&lt;/author&gt;&lt;author&gt;Chien, Iting&lt;/author&gt;&lt;/authors&gt;&lt;/contributors&gt;&lt;titles&gt;&lt;title&gt;Rethinking organizational learning orientation on radical and incremental innovation in high-tech firms&lt;/title&gt;&lt;secondary-title&gt;Journal of Business Research&lt;/secondary-title&gt;&lt;/titles&gt;&lt;periodical&gt;&lt;full-title&gt;Journal of Business Research&lt;/full-title&gt;&lt;/periodical&gt;&lt;pages&gt;2302-2308&lt;/pages&gt;&lt;volume&gt;69&lt;/volume&gt;&lt;number&gt;6&lt;/number&gt;&lt;dates&gt;&lt;year&gt;2016&lt;/year&gt;&lt;/dates&gt;&lt;isbn&gt;01482963&lt;/isbn&gt;&lt;urls&gt;&lt;/urls&gt;&lt;electronic-resource-num&gt;10.1016/j.jbusres.2015.12.046&lt;/electronic-resource-num&gt;&lt;/record&gt;&lt;/Cite&gt;&lt;/EndNote&gt;</w:instrText>
      </w:r>
      <w:r w:rsidRPr="00647BAF">
        <w:rPr>
          <w:sz w:val="20"/>
          <w:szCs w:val="20"/>
        </w:rPr>
        <w:fldChar w:fldCharType="separate"/>
      </w:r>
      <w:r w:rsidRPr="00647BAF">
        <w:rPr>
          <w:sz w:val="20"/>
          <w:szCs w:val="20"/>
        </w:rPr>
        <w:t>(</w:t>
      </w:r>
      <w:hyperlink r:id="rId11" w:anchor="_ENREF_62" w:tooltip="Sheng, 2016 #9599" w:history="1">
        <w:r w:rsidRPr="00647BAF">
          <w:rPr>
            <w:sz w:val="20"/>
            <w:szCs w:val="20"/>
          </w:rPr>
          <w:t>Sheng and Chien 2016</w:t>
        </w:r>
      </w:hyperlink>
      <w:r w:rsidRPr="00647BAF">
        <w:rPr>
          <w:sz w:val="20"/>
          <w:szCs w:val="20"/>
        </w:rPr>
        <w:t>)</w:t>
      </w:r>
      <w:r w:rsidRPr="00647BAF">
        <w:rPr>
          <w:sz w:val="20"/>
          <w:szCs w:val="20"/>
        </w:rPr>
        <w:fldChar w:fldCharType="end"/>
      </w:r>
      <w:r w:rsidRPr="00647BAF">
        <w:rPr>
          <w:sz w:val="20"/>
          <w:szCs w:val="20"/>
        </w:rPr>
        <w:t xml:space="preserve">. Entrepreneurial learning can facilitate the development of one's dynamic capabilities in adapting to market changes and making the right innovations </w:t>
      </w:r>
      <w:r w:rsidRPr="00647BAF">
        <w:rPr>
          <w:sz w:val="20"/>
          <w:szCs w:val="20"/>
        </w:rPr>
        <w:fldChar w:fldCharType="begin"/>
      </w:r>
      <w:r w:rsidRPr="00647BAF">
        <w:rPr>
          <w:sz w:val="20"/>
          <w:szCs w:val="20"/>
        </w:rPr>
        <w:instrText xml:space="preserve"> ADDIN EN.CITE &lt;EndNote&gt;&lt;Cite&gt;&lt;Author&gt;Fernández-Mesa&lt;/Author&gt;&lt;Year&gt;2015&lt;/Year&gt;&lt;RecNum&gt;12000&lt;/RecNum&gt;&lt;DisplayText&gt;(Fernández-Mesa and Alegre 2015)&lt;/DisplayText&gt;&lt;record&gt;&lt;rec-number&gt;12000&lt;/rec-number&gt;&lt;foreign-keys&gt;&lt;key app="EN" db-id="e2fw222f1azpvrewpa159x5yrrdwertvtxw0"&gt;12000&lt;/key&gt;&lt;key app="ENWeb" db-id=""&gt;0&lt;/key&gt;&lt;/foreign-keys&gt;&lt;ref-type name="Journal Article"&gt;17&lt;/ref-type&gt;&lt;contributors&gt;&lt;authors&gt;&lt;author&gt;Fernández-Mesa, Anabel&lt;/author&gt;&lt;author&gt;Alegre, Joaquín&lt;/author&gt;&lt;/authors&gt;&lt;/contributors&gt;&lt;titles&gt;&lt;title&gt;Entrepreneurial orientation and export intensity: Examining the interplay of organizational learning and innovation&lt;/title&gt;&lt;secondary-title&gt;International Business Review&lt;/secondary-title&gt;&lt;/titles&gt;&lt;periodical&gt;&lt;full-title&gt;International Business Review&lt;/full-title&gt;&lt;/periodical&gt;&lt;pages&gt;148-156&lt;/pages&gt;&lt;volume&gt;24&lt;/volume&gt;&lt;number&gt;1&lt;/number&gt;&lt;dates&gt;&lt;year&gt;2015&lt;/year&gt;&lt;/dates&gt;&lt;isbn&gt;09695931&lt;/isbn&gt;&lt;urls&gt;&lt;/urls&gt;&lt;electronic-resource-num&gt;10.1016/j.ibusrev.2014.07.004&lt;/electronic-resource-num&gt;&lt;/record&gt;&lt;/Cite&gt;&lt;/EndNote&gt;</w:instrText>
      </w:r>
      <w:r w:rsidRPr="00647BAF">
        <w:rPr>
          <w:sz w:val="20"/>
          <w:szCs w:val="20"/>
        </w:rPr>
        <w:fldChar w:fldCharType="separate"/>
      </w:r>
      <w:r w:rsidRPr="00647BAF">
        <w:rPr>
          <w:sz w:val="20"/>
          <w:szCs w:val="20"/>
        </w:rPr>
        <w:t>(</w:t>
      </w:r>
      <w:hyperlink r:id="rId12" w:anchor="_ENREF_22" w:tooltip="Fernández-Mesa, 2015 #12000" w:history="1">
        <w:r w:rsidRPr="00647BAF">
          <w:rPr>
            <w:sz w:val="20"/>
            <w:szCs w:val="20"/>
          </w:rPr>
          <w:t>Fernández-Mesa and Alegre 2015</w:t>
        </w:r>
      </w:hyperlink>
      <w:r w:rsidRPr="00647BAF">
        <w:rPr>
          <w:sz w:val="20"/>
          <w:szCs w:val="20"/>
        </w:rPr>
        <w:t>)</w:t>
      </w:r>
      <w:r w:rsidRPr="00647BAF">
        <w:rPr>
          <w:sz w:val="20"/>
          <w:szCs w:val="20"/>
        </w:rPr>
        <w:fldChar w:fldCharType="end"/>
      </w:r>
      <w:r w:rsidRPr="00647BAF">
        <w:rPr>
          <w:sz w:val="20"/>
          <w:szCs w:val="20"/>
        </w:rPr>
        <w:t>.</w:t>
      </w:r>
    </w:p>
    <w:p w14:paraId="35EDE452" w14:textId="77777777" w:rsidR="00647BAF" w:rsidRPr="00647BAF" w:rsidRDefault="00647BAF" w:rsidP="00647BAF">
      <w:pPr>
        <w:spacing w:line="276" w:lineRule="auto"/>
        <w:ind w:left="342" w:firstLine="367"/>
        <w:jc w:val="both"/>
        <w:rPr>
          <w:sz w:val="20"/>
          <w:szCs w:val="20"/>
        </w:rPr>
      </w:pPr>
      <w:r w:rsidRPr="00647BAF">
        <w:rPr>
          <w:sz w:val="20"/>
          <w:szCs w:val="20"/>
        </w:rPr>
        <w:t>Entrepreneurship learning teaches the knowledge, tools, and attitudes needed to identify opportunities and activate imagination. Many things does not obtain from ordinary learning such as understanding and planning for the future, working in and managing interdisciplinary teams, empathy, communicating effectively, critical thinking, understanding business basics, and solving problems (NAE, 2004). The main objective of entrepreneurship education is to develop entrepreneurial capacity and mindset, creativity, innovation and entrepreneurship.</w:t>
      </w:r>
    </w:p>
    <w:p w14:paraId="025CFE4D" w14:textId="77777777" w:rsidR="00647BAF" w:rsidRPr="00647BAF" w:rsidRDefault="00647BAF" w:rsidP="00647BAF">
      <w:pPr>
        <w:spacing w:line="276" w:lineRule="auto"/>
        <w:ind w:left="342" w:firstLine="367"/>
        <w:jc w:val="both"/>
        <w:rPr>
          <w:sz w:val="20"/>
          <w:szCs w:val="20"/>
        </w:rPr>
      </w:pPr>
      <w:r w:rsidRPr="00647BAF">
        <w:rPr>
          <w:sz w:val="20"/>
          <w:szCs w:val="20"/>
        </w:rPr>
        <w:t>From a human-centered perspective, the focus of knowledge management expands to include human relation (Kaschig et al. 2016) and embraces social relationships with the support of appropriate technologies (Von Krogh 2012), also called the environment. social knowledge (Pawlowski et al. 2014).</w:t>
      </w:r>
    </w:p>
    <w:p w14:paraId="449481A6" w14:textId="77777777" w:rsidR="00647BAF" w:rsidRPr="00647BAF" w:rsidRDefault="00647BAF" w:rsidP="00647BAF">
      <w:pPr>
        <w:spacing w:line="276" w:lineRule="auto"/>
        <w:ind w:left="342" w:firstLine="367"/>
        <w:jc w:val="both"/>
        <w:rPr>
          <w:sz w:val="20"/>
          <w:szCs w:val="20"/>
        </w:rPr>
      </w:pPr>
      <w:r w:rsidRPr="00647BAF">
        <w:rPr>
          <w:sz w:val="20"/>
          <w:szCs w:val="20"/>
        </w:rPr>
        <w:t xml:space="preserve">The prospects for businesses and individual workers around the world have changed in the knowledge 4. Many avenues for flexible work have opened up today beyond traditional workplace hierarchies, from contractual or on-call jobs to fast-growing, labor-intensive sectors. The network currently distributes formalized knowledge through multiple channels, and in a variety of formats, but lacks a strategy to ensure target groups are matched. As a major weakness of electronic communication regarding distribution, this article aims to identify that low social closeness tends to </w:t>
      </w:r>
      <w:r w:rsidRPr="00647BAF">
        <w:rPr>
          <w:sz w:val="20"/>
          <w:szCs w:val="20"/>
        </w:rPr>
        <w:lastRenderedPageBreak/>
        <w:t>increase barriers to knowledge sharing (Schäper and Thalmann, 2015). Knowledge sharing capabilities support members by overcoming weaknesses and helping to select the right content, in the right format, for the right target group. Current research argues that online platforms such as Twitter, weblogs, or social networking sites such as LinkedIn are effective platforms for knowledge distribution within and across organizations as they can facilitate experts and expertise seeking, socializing, reaching and broadening horizons (Jarrahi and Sawyer 2013).</w:t>
      </w:r>
    </w:p>
    <w:p w14:paraId="103EA78F" w14:textId="77777777" w:rsidR="00647BAF" w:rsidRPr="00647BAF" w:rsidRDefault="00647BAF" w:rsidP="00647BAF">
      <w:pPr>
        <w:spacing w:line="276" w:lineRule="auto"/>
        <w:ind w:left="342" w:firstLine="367"/>
        <w:jc w:val="both"/>
        <w:rPr>
          <w:sz w:val="20"/>
          <w:szCs w:val="20"/>
        </w:rPr>
      </w:pPr>
      <w:r w:rsidRPr="00647BAF">
        <w:rPr>
          <w:sz w:val="20"/>
          <w:szCs w:val="20"/>
        </w:rPr>
        <w:t xml:space="preserve">This article proposes the concept of developing a tourism destination competitive advantage (Destination competitive advantage) which emphasizes tourism development in entrepreneurship learning </w:t>
      </w:r>
      <w:r w:rsidRPr="00647BAF">
        <w:rPr>
          <w:sz w:val="20"/>
          <w:szCs w:val="20"/>
        </w:rPr>
        <w:fldChar w:fldCharType="begin"/>
      </w:r>
      <w:r w:rsidRPr="00647BAF">
        <w:rPr>
          <w:sz w:val="20"/>
          <w:szCs w:val="20"/>
        </w:rPr>
        <w:instrText xml:space="preserve"> ADDIN EN.CITE &lt;EndNote&gt;&lt;Cite&gt;&lt;Author&gt;Shu-Hsien Liao; Chih-Chiang Chen&lt;/Author&gt;&lt;Year&gt;2016&lt;/Year&gt;&lt;RecNum&gt;14282&lt;/RecNum&gt;&lt;DisplayText&gt;(Shu-Hsien Liao; Chih-Chiang Chen 2016)&lt;/DisplayText&gt;&lt;record&gt;&lt;rec-number&gt;14282&lt;/rec-number&gt;&lt;foreign-keys&gt;&lt;key app="EN" db-id="e2fw222f1azpvrewpa159x5yrrdwertvtxw0"&gt;14282&lt;/key&gt;&lt;/foreign-keys&gt;&lt;ref-type name="Journal Article"&gt;17&lt;/ref-type&gt;&lt;contributors&gt;&lt;authors&gt;&lt;author&gt;Shu-Hsien Liao; Chih-Chiang Chen,  Da-Chian Hu, Yu-chun Chung,  Min-Ju Yang&lt;/author&gt;&lt;/authors&gt;&lt;/contributors&gt;&lt;titles&gt;&lt;title&gt;Developing a sustainable competitive advantage: absorptive capacity, knowledge transfer and organizational learning&lt;/title&gt;&lt;secondary-title&gt;Springer Science+Business Media New York&lt;/secondary-title&gt;&lt;/titles&gt;&lt;periodical&gt;&lt;full-title&gt;Springer Science+Business Media New York&lt;/full-title&gt;&lt;/periodical&gt;&lt;dates&gt;&lt;year&gt;2016&lt;/year&gt;&lt;/dates&gt;&lt;urls&gt;&lt;/urls&gt;&lt;electronic-resource-num&gt;10.1007/s10961-016-9532-1&lt;/electronic-resource-num&gt;&lt;/record&gt;&lt;/Cite&gt;&lt;/EndNote&gt;</w:instrText>
      </w:r>
      <w:r w:rsidRPr="00647BAF">
        <w:rPr>
          <w:sz w:val="20"/>
          <w:szCs w:val="20"/>
        </w:rPr>
        <w:fldChar w:fldCharType="separate"/>
      </w:r>
      <w:r w:rsidRPr="00647BAF">
        <w:rPr>
          <w:sz w:val="20"/>
          <w:szCs w:val="20"/>
        </w:rPr>
        <w:t>(</w:t>
      </w:r>
      <w:hyperlink r:id="rId13" w:anchor="_ENREF_63" w:tooltip="Shu-Hsien Liao; Chih-Chiang Chen, 2016 #14282" w:history="1">
        <w:r w:rsidRPr="00647BAF">
          <w:rPr>
            <w:sz w:val="20"/>
            <w:szCs w:val="20"/>
          </w:rPr>
          <w:t>Shu-Hsien Liao; Chih-Chiang Chen 2016</w:t>
        </w:r>
      </w:hyperlink>
      <w:r w:rsidRPr="00647BAF">
        <w:rPr>
          <w:sz w:val="20"/>
          <w:szCs w:val="20"/>
        </w:rPr>
        <w:t>)</w:t>
      </w:r>
      <w:r w:rsidRPr="00647BAF">
        <w:rPr>
          <w:sz w:val="20"/>
          <w:szCs w:val="20"/>
        </w:rPr>
        <w:fldChar w:fldCharType="end"/>
      </w:r>
      <w:r w:rsidRPr="00647BAF">
        <w:rPr>
          <w:sz w:val="20"/>
          <w:szCs w:val="20"/>
        </w:rPr>
        <w:t>, dan multiple network interaction.</w:t>
      </w:r>
    </w:p>
    <w:p w14:paraId="50CD43C6" w14:textId="77777777" w:rsidR="00CB7162" w:rsidRDefault="00CB7162" w:rsidP="009D4A50">
      <w:pPr>
        <w:pStyle w:val="BodyText"/>
        <w:spacing w:before="3"/>
        <w:ind w:right="-14"/>
        <w:rPr>
          <w:rFonts w:ascii="Arial"/>
          <w:i/>
        </w:rPr>
      </w:pPr>
    </w:p>
    <w:p w14:paraId="6EEEF16C" w14:textId="70EA17E5" w:rsidR="000753EB" w:rsidRDefault="00647BAF" w:rsidP="009D4A50">
      <w:pPr>
        <w:pStyle w:val="Heading2"/>
        <w:ind w:right="-14"/>
      </w:pPr>
      <w:r w:rsidRPr="00647BAF">
        <w:t>THEORETICAL FOUNDATION AND PREPOSITION DEVELOPMENT</w:t>
      </w:r>
    </w:p>
    <w:p w14:paraId="5FB0B145" w14:textId="77777777" w:rsidR="000753EB" w:rsidRDefault="000753EB" w:rsidP="009D4A50">
      <w:pPr>
        <w:pStyle w:val="BodyText"/>
        <w:spacing w:before="2"/>
        <w:ind w:right="-14"/>
        <w:rPr>
          <w:rFonts w:ascii="Tahoma"/>
          <w:b/>
          <w:sz w:val="19"/>
        </w:rPr>
      </w:pPr>
    </w:p>
    <w:p w14:paraId="4E1D09D9" w14:textId="4B0FAA6A" w:rsidR="00FE16AE" w:rsidRPr="00FE16AE" w:rsidRDefault="00FE16AE" w:rsidP="00FE16AE">
      <w:pPr>
        <w:widowControl/>
        <w:autoSpaceDE/>
        <w:autoSpaceDN/>
        <w:ind w:firstLine="342"/>
        <w:contextualSpacing/>
        <w:jc w:val="both"/>
        <w:rPr>
          <w:i/>
          <w:iCs/>
          <w:sz w:val="20"/>
          <w:szCs w:val="20"/>
        </w:rPr>
      </w:pPr>
      <w:r w:rsidRPr="00FE16AE">
        <w:rPr>
          <w:i/>
          <w:iCs/>
          <w:sz w:val="20"/>
          <w:szCs w:val="20"/>
        </w:rPr>
        <w:t xml:space="preserve">2.1. Destination competitive advantage </w:t>
      </w:r>
    </w:p>
    <w:p w14:paraId="1ADE4581" w14:textId="77777777" w:rsidR="00FE16AE" w:rsidRPr="00FE16AE" w:rsidRDefault="00FE16AE" w:rsidP="00FE16AE">
      <w:pPr>
        <w:widowControl/>
        <w:autoSpaceDE/>
        <w:autoSpaceDN/>
        <w:ind w:left="426" w:firstLine="283"/>
        <w:contextualSpacing/>
        <w:jc w:val="both"/>
        <w:rPr>
          <w:sz w:val="20"/>
          <w:szCs w:val="20"/>
        </w:rPr>
      </w:pPr>
      <w:r w:rsidRPr="00FE16AE">
        <w:rPr>
          <w:sz w:val="20"/>
          <w:szCs w:val="20"/>
        </w:rPr>
        <w:t xml:space="preserve">Sustainability competitive advantage is the result provided by scarce, valuable, and unique human resources; customer relations, and systems that provide the organization with a sustainable competitive position. The background of creating a competitive strategy starts from how the business will be developed, the goals and policies </w:t>
      </w:r>
      <w:r w:rsidRPr="00FE16AE">
        <w:rPr>
          <w:sz w:val="20"/>
          <w:szCs w:val="20"/>
        </w:rPr>
        <w:fldChar w:fldCharType="begin"/>
      </w:r>
      <w:r w:rsidRPr="00FE16AE">
        <w:rPr>
          <w:sz w:val="20"/>
          <w:szCs w:val="20"/>
        </w:rPr>
        <w:instrText xml:space="preserve"> ADDIN EN.CITE &lt;EndNote&gt;&lt;Cite&gt;&lt;Author&gt;Musetescu&lt;/Author&gt;&lt;Year&gt;2013&lt;/Year&gt;&lt;RecNum&gt;5472&lt;/RecNum&gt;&lt;DisplayText&gt;(Musetescu 2013)&lt;/DisplayText&gt;&lt;record&gt;&lt;rec-number&gt;5472&lt;/rec-number&gt;&lt;foreign-keys&gt;&lt;key app="EN" db-id="e2fw222f1azpvrewpa159x5yrrdwertvtxw0"&gt;5472&lt;/key&gt;&lt;/foreign-keys&gt;&lt;ref-type name="Journal Article"&gt;17&lt;/ref-type&gt;&lt;contributors&gt;&lt;authors&gt;&lt;author&gt;Adina Musetescu&lt;/author&gt;&lt;/authors&gt;&lt;/contributors&gt;&lt;titles&gt;&lt;title&gt;How to Achieve a Competitive Advantage&lt;/title&gt;&lt;secondary-title&gt;Knowledge Horizons. Economics&lt;/secondary-title&gt;&lt;/titles&gt;&lt;periodical&gt;&lt;full-title&gt;Knowledge Horizons. Economics&lt;/full-title&gt;&lt;/periodical&gt;&lt;pages&gt;5&lt;/pages&gt;&lt;volume&gt;5&lt;/volume&gt;&lt;number&gt;1&lt;/number&gt;&lt;section&gt;13&lt;/section&gt;&lt;dates&gt;&lt;year&gt;2013&lt;/year&gt;&lt;/dates&gt;&lt;urls&gt;&lt;/urls&gt;&lt;/record&gt;&lt;/Cite&gt;&lt;/EndNote&gt;</w:instrText>
      </w:r>
      <w:r w:rsidRPr="00FE16AE">
        <w:rPr>
          <w:sz w:val="20"/>
          <w:szCs w:val="20"/>
        </w:rPr>
        <w:fldChar w:fldCharType="separate"/>
      </w:r>
      <w:r w:rsidRPr="00FE16AE">
        <w:rPr>
          <w:sz w:val="20"/>
          <w:szCs w:val="20"/>
        </w:rPr>
        <w:t>(</w:t>
      </w:r>
      <w:hyperlink r:id="rId14" w:anchor="_ENREF_48" w:tooltip="Musetescu, 2013 #5472" w:history="1">
        <w:r w:rsidRPr="00FE16AE">
          <w:rPr>
            <w:sz w:val="20"/>
            <w:szCs w:val="20"/>
          </w:rPr>
          <w:t>Musetescu 2013</w:t>
        </w:r>
      </w:hyperlink>
      <w:r w:rsidRPr="00FE16AE">
        <w:rPr>
          <w:sz w:val="20"/>
          <w:szCs w:val="20"/>
        </w:rPr>
        <w:t>)</w:t>
      </w:r>
      <w:r w:rsidRPr="00FE16AE">
        <w:rPr>
          <w:sz w:val="20"/>
          <w:szCs w:val="20"/>
        </w:rPr>
        <w:fldChar w:fldCharType="end"/>
      </w:r>
      <w:r w:rsidRPr="00FE16AE">
        <w:rPr>
          <w:sz w:val="20"/>
          <w:szCs w:val="20"/>
        </w:rPr>
        <w:t xml:space="preserve">. </w:t>
      </w:r>
    </w:p>
    <w:p w14:paraId="5C1D22B4" w14:textId="77777777" w:rsidR="00FE16AE" w:rsidRPr="00FE16AE" w:rsidRDefault="00FE16AE" w:rsidP="00FE16AE">
      <w:pPr>
        <w:widowControl/>
        <w:autoSpaceDE/>
        <w:autoSpaceDN/>
        <w:ind w:left="426" w:firstLine="283"/>
        <w:contextualSpacing/>
        <w:jc w:val="both"/>
        <w:rPr>
          <w:sz w:val="20"/>
          <w:szCs w:val="20"/>
        </w:rPr>
      </w:pPr>
      <w:r w:rsidRPr="00FE16AE">
        <w:rPr>
          <w:sz w:val="20"/>
          <w:szCs w:val="20"/>
        </w:rPr>
        <w:t>Over time, the concept of sustainable development was adopted into the concept of sustainable tourism development. Sustainable tourism development is defined as a tourism development process which oriented to the preservation of the resources needed for future development and does not have a negative impact on the development of local culture, but rather the existence of this culture must be maintained for future generations.</w:t>
      </w:r>
    </w:p>
    <w:p w14:paraId="64C9401C" w14:textId="77777777" w:rsidR="00FE16AE" w:rsidRPr="00FE16AE" w:rsidRDefault="00FE16AE" w:rsidP="00FE16AE">
      <w:pPr>
        <w:widowControl/>
        <w:autoSpaceDE/>
        <w:autoSpaceDN/>
        <w:ind w:left="426" w:firstLine="283"/>
        <w:contextualSpacing/>
        <w:jc w:val="both"/>
        <w:rPr>
          <w:sz w:val="20"/>
          <w:szCs w:val="20"/>
        </w:rPr>
      </w:pPr>
      <w:r w:rsidRPr="00FE16AE">
        <w:rPr>
          <w:sz w:val="20"/>
          <w:szCs w:val="20"/>
        </w:rPr>
        <w:t>In strategic management, the main goal of the entire process carried out by the organization is to achieve sustainable competitive advantage. As the development of the tourism sector places a sustainable competitive advantage as the main goal with the main variables, namely Destination Value, Destination Rareness/scarcity, tourist destinations that are not owned by other regions and able to become regional tourism identities.</w:t>
      </w:r>
      <w:r w:rsidRPr="00FE16AE">
        <w:rPr>
          <w:sz w:val="20"/>
          <w:szCs w:val="20"/>
        </w:rPr>
        <w:fldChar w:fldCharType="begin"/>
      </w:r>
      <w:r w:rsidRPr="00FE16AE">
        <w:rPr>
          <w:sz w:val="20"/>
          <w:szCs w:val="20"/>
        </w:rPr>
        <w:instrText xml:space="preserve"> ADDIN EN.CITE &lt;EndNote&gt;&lt;Cite&gt;&lt;Author&gt;Della Corte&lt;/Author&gt;&lt;Year&gt;2016&lt;/Year&gt;&lt;RecNum&gt;10316&lt;/RecNum&gt;&lt;DisplayText&gt;(Della Corte and Aria 2016)&lt;/DisplayText&gt;&lt;record&gt;&lt;rec-number&gt;10316&lt;/rec-number&gt;&lt;foreign-keys&gt;&lt;key app="EN" db-id="e2fw222f1azpvrewpa159x5yrrdwertvtxw0"&gt;10316&lt;/key&gt;&lt;key app="ENWeb" db-id=""&gt;0&lt;/key&gt;&lt;/foreign-keys&gt;&lt;ref-type name="Journal Article"&gt;17&lt;/ref-type&gt;&lt;contributors&gt;&lt;authors&gt;&lt;author&gt;Della Corte, Valentina&lt;/author&gt;&lt;author&gt;Aria, Massimo&lt;/author&gt;&lt;/authors&gt;&lt;/contributors&gt;&lt;titles&gt;&lt;title&gt;Coopetition and sustainable competitive advantage. The case of tourist destinations&lt;/title&gt;&lt;secondary-title&gt;Tourism Management&lt;/secondary-title&gt;&lt;/titles&gt;&lt;periodical&gt;&lt;full-title&gt;Tourism Management&lt;/full-title&gt;&lt;/periodical&gt;&lt;pages&gt;524-540&lt;/pages&gt;&lt;volume&gt;54&lt;/volume&gt;&lt;dates&gt;&lt;year&gt;2016&lt;/year&gt;&lt;/dates&gt;&lt;isbn&gt;02615177&lt;/isbn&gt;&lt;urls&gt;&lt;/urls&gt;&lt;electronic-resource-num&gt;10.1016/j.tourman.2015.12.009&lt;/electronic-resource-num&gt;&lt;/record&gt;&lt;/Cite&gt;&lt;/EndNote&gt;</w:instrText>
      </w:r>
      <w:r w:rsidRPr="00FE16AE">
        <w:rPr>
          <w:sz w:val="20"/>
          <w:szCs w:val="20"/>
        </w:rPr>
        <w:fldChar w:fldCharType="separate"/>
      </w:r>
      <w:r w:rsidRPr="00FE16AE">
        <w:rPr>
          <w:sz w:val="20"/>
          <w:szCs w:val="20"/>
        </w:rPr>
        <w:t>(</w:t>
      </w:r>
      <w:hyperlink r:id="rId15" w:anchor="_ENREF_15" w:tooltip="Della Corte, 2016 #10316" w:history="1">
        <w:r w:rsidRPr="00FE16AE">
          <w:rPr>
            <w:sz w:val="20"/>
            <w:szCs w:val="20"/>
          </w:rPr>
          <w:t>Della Corte and Aria 2016</w:t>
        </w:r>
      </w:hyperlink>
      <w:r w:rsidRPr="00FE16AE">
        <w:rPr>
          <w:sz w:val="20"/>
          <w:szCs w:val="20"/>
        </w:rPr>
        <w:t>)</w:t>
      </w:r>
      <w:r w:rsidRPr="00FE16AE">
        <w:rPr>
          <w:sz w:val="20"/>
          <w:szCs w:val="20"/>
        </w:rPr>
        <w:fldChar w:fldCharType="end"/>
      </w:r>
      <w:r w:rsidRPr="00FE16AE">
        <w:rPr>
          <w:sz w:val="20"/>
          <w:szCs w:val="20"/>
        </w:rPr>
        <w:t>.</w:t>
      </w:r>
    </w:p>
    <w:p w14:paraId="4508FFD9" w14:textId="77777777" w:rsidR="00FE16AE" w:rsidRDefault="00FE16AE" w:rsidP="00FE16AE">
      <w:pPr>
        <w:widowControl/>
        <w:autoSpaceDE/>
        <w:autoSpaceDN/>
        <w:contextualSpacing/>
        <w:jc w:val="both"/>
        <w:rPr>
          <w:sz w:val="20"/>
          <w:szCs w:val="20"/>
        </w:rPr>
      </w:pPr>
    </w:p>
    <w:p w14:paraId="7182DBA4" w14:textId="67871A4E" w:rsidR="00FE16AE" w:rsidRPr="00FE16AE" w:rsidRDefault="00FE16AE" w:rsidP="00FE16AE">
      <w:pPr>
        <w:widowControl/>
        <w:autoSpaceDE/>
        <w:autoSpaceDN/>
        <w:ind w:firstLine="426"/>
        <w:contextualSpacing/>
        <w:jc w:val="both"/>
        <w:rPr>
          <w:i/>
          <w:iCs/>
          <w:sz w:val="20"/>
          <w:szCs w:val="20"/>
        </w:rPr>
      </w:pPr>
      <w:r w:rsidRPr="00FE16AE">
        <w:rPr>
          <w:i/>
          <w:iCs/>
          <w:sz w:val="20"/>
          <w:szCs w:val="20"/>
        </w:rPr>
        <w:t xml:space="preserve">2.2.  Entrepreneur Learning   </w:t>
      </w:r>
    </w:p>
    <w:p w14:paraId="443128DA" w14:textId="77777777" w:rsidR="00FE16AE" w:rsidRPr="00FE16AE" w:rsidRDefault="00FE16AE" w:rsidP="00FE16AE">
      <w:pPr>
        <w:widowControl/>
        <w:autoSpaceDE/>
        <w:autoSpaceDN/>
        <w:ind w:left="426" w:firstLine="283"/>
        <w:contextualSpacing/>
        <w:jc w:val="both"/>
        <w:rPr>
          <w:sz w:val="20"/>
          <w:szCs w:val="20"/>
        </w:rPr>
      </w:pPr>
      <w:r w:rsidRPr="00FE16AE">
        <w:rPr>
          <w:sz w:val="20"/>
          <w:szCs w:val="20"/>
        </w:rPr>
        <w:tab/>
        <w:t xml:space="preserve">Entrepreneur Learning has been studied since a century ago, has several characteristics of learning that are different from other learning </w:t>
      </w:r>
      <w:r w:rsidRPr="00FE16AE">
        <w:rPr>
          <w:sz w:val="20"/>
          <w:szCs w:val="20"/>
        </w:rPr>
        <w:fldChar w:fldCharType="begin"/>
      </w:r>
      <w:r w:rsidRPr="00FE16AE">
        <w:rPr>
          <w:sz w:val="20"/>
          <w:szCs w:val="20"/>
        </w:rPr>
        <w:instrText xml:space="preserve"> ADDIN EN.CITE &lt;EndNote&gt;&lt;Cite&gt;&lt;Author&gt;Ernest&lt;/Author&gt;&lt;Year&gt;2015&lt;/Year&gt;&lt;RecNum&gt;14380&lt;/RecNum&gt;&lt;DisplayText&gt;(Ernest, Matthew et al. 2015)&lt;/DisplayText&gt;&lt;record&gt;&lt;rec-number&gt;14380&lt;/rec-number&gt;&lt;foreign-keys&gt;&lt;key app="EN" db-id="e2fw222f1azpvrewpa159x5yrrdwertvtxw0"&gt;14380&lt;/key&gt;&lt;key app="ENWeb" db-id=""&gt;0&lt;/key&gt;&lt;/foreign-keys&gt;&lt;ref-type name="Journal Article"&gt;17&lt;/ref-type&gt;&lt;contributors&gt;&lt;authors&gt;&lt;author&gt;Ernest, Kissi&lt;/author&gt;&lt;author&gt;Matthew, Somiah K.&lt;/author&gt;&lt;author&gt;Samuel, Ansah K.&lt;/author&gt;&lt;/authors&gt;&lt;/contributors&gt;&lt;titles&gt;&lt;title&gt;Towards Entrepreneurial Learning Competencies: The Perspective of Built Environment Students&lt;/title&gt;&lt;secondary-title&gt;Higher Education Studies&lt;/secondary-title&gt;&lt;/titles&gt;&lt;periodical&gt;&lt;full-title&gt;Higher Education Studies&lt;/full-title&gt;&lt;/periodical&gt;&lt;volume&gt;5&lt;/volume&gt;&lt;number&gt;1&lt;/number&gt;&lt;dates&gt;&lt;year&gt;2015&lt;/year&gt;&lt;/dates&gt;&lt;isbn&gt;1925-475X&amp;#xD;1925-4741&lt;/isbn&gt;&lt;urls&gt;&lt;/urls&gt;&lt;electronic-resource-num&gt;10.5539/hes.v5n1p20&lt;/electronic-resource-num&gt;&lt;/record&gt;&lt;/Cite&gt;&lt;/EndNote&gt;</w:instrText>
      </w:r>
      <w:r w:rsidRPr="00FE16AE">
        <w:rPr>
          <w:sz w:val="20"/>
          <w:szCs w:val="20"/>
        </w:rPr>
        <w:fldChar w:fldCharType="separate"/>
      </w:r>
      <w:r w:rsidRPr="00FE16AE">
        <w:rPr>
          <w:sz w:val="20"/>
          <w:szCs w:val="20"/>
        </w:rPr>
        <w:t>(</w:t>
      </w:r>
      <w:hyperlink r:id="rId16" w:anchor="_ENREF_20" w:tooltip="Ernest, 2015 #14380" w:history="1">
        <w:r w:rsidRPr="00FE16AE">
          <w:rPr>
            <w:sz w:val="20"/>
            <w:szCs w:val="20"/>
          </w:rPr>
          <w:t>Ernest, Matthew et al. 2015</w:t>
        </w:r>
      </w:hyperlink>
      <w:r w:rsidRPr="00FE16AE">
        <w:rPr>
          <w:sz w:val="20"/>
          <w:szCs w:val="20"/>
        </w:rPr>
        <w:t>)</w:t>
      </w:r>
      <w:r w:rsidRPr="00FE16AE">
        <w:rPr>
          <w:sz w:val="20"/>
          <w:szCs w:val="20"/>
        </w:rPr>
        <w:fldChar w:fldCharType="end"/>
      </w:r>
      <w:r w:rsidRPr="00FE16AE">
        <w:rPr>
          <w:sz w:val="20"/>
          <w:szCs w:val="20"/>
        </w:rPr>
        <w:t xml:space="preserve">. Three pairs of entrepreneurial learning types that are interesting to study are individual and collective learning, exploratory and exploitative learning, and intuitive and sensing learning. </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17"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w:t>
      </w:r>
    </w:p>
    <w:p w14:paraId="2CF8F9DB" w14:textId="77777777" w:rsidR="00FE16AE" w:rsidRPr="00FE16AE" w:rsidRDefault="00FE16AE" w:rsidP="00FE16AE">
      <w:pPr>
        <w:widowControl/>
        <w:autoSpaceDE/>
        <w:autoSpaceDN/>
        <w:ind w:left="426" w:firstLine="283"/>
        <w:contextualSpacing/>
        <w:jc w:val="both"/>
        <w:rPr>
          <w:sz w:val="20"/>
          <w:szCs w:val="20"/>
        </w:rPr>
      </w:pPr>
      <w:r w:rsidRPr="00FE16AE">
        <w:rPr>
          <w:sz w:val="20"/>
          <w:szCs w:val="20"/>
        </w:rPr>
        <w:t xml:space="preserve">Individual and Collective Learning This type of learning integrates individual learning with collective learning. Individual learning is a process where a person obtains data, information, skills, or knowledge </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18"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 While collective learning is a social process of knowledge accumulation based on a shared set of rules and procedures that allow individuals to coordinate their roles in problem-solving efforts.</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19"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 xml:space="preserve">. The challenge in this study is how to integrate individual behavior in seeking opportunities and organizational behavior in seeking profit. </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20"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 These two types of learning have an effective combination in interpreting know-what, know-how, and know-who. Includes processes of integration and institutionalization, in collective learning, emphasizes the importance of shared vision and understands joint activities that involve more emotions and feelings..</w:t>
      </w:r>
      <w:r w:rsidRPr="00FE16AE">
        <w:rPr>
          <w:sz w:val="20"/>
          <w:szCs w:val="20"/>
        </w:rPr>
        <w:fldChar w:fldCharType="begin"/>
      </w:r>
      <w:r w:rsidRPr="00FE16AE">
        <w:rPr>
          <w:sz w:val="20"/>
          <w:szCs w:val="20"/>
        </w:rPr>
        <w:instrText xml:space="preserve"> ADDIN EN.CITE &lt;EndNote&gt;&lt;Cite&gt;&lt;Author&gt;St-Jean&lt;/Author&gt;&lt;Year&gt;2009&lt;/Year&gt;&lt;RecNum&gt;14379&lt;/RecNum&gt;&lt;DisplayText&gt;(St-Jean and Audet 2009)&lt;/DisplayText&gt;&lt;record&gt;&lt;rec-number&gt;14379&lt;/rec-number&gt;&lt;foreign-keys&gt;&lt;key app="EN" db-id="e2fw222f1azpvrewpa159x5yrrdwertvtxw0"&gt;14379&lt;/key&gt;&lt;key app="ENWeb" db-id=""&gt;0&lt;/key&gt;&lt;/foreign-keys&gt;&lt;ref-type name="Journal Article"&gt;17&lt;/ref-type&gt;&lt;contributors&gt;&lt;authors&gt;&lt;author&gt;St-Jean, Etienne&lt;/author&gt;&lt;author&gt;Audet, Josée&lt;/author&gt;&lt;/authors&gt;&lt;/contributors&gt;&lt;titles&gt;&lt;title&gt;The role of mentoring in the learning development of the novice entrepreneur&lt;/title&gt;&lt;secondary-title&gt;International Entrepreneurship and Management Journal&lt;/secondary-title&gt;&lt;/titles&gt;&lt;periodical&gt;&lt;full-title&gt;International Entrepreneurship and Management Journal&lt;/full-title&gt;&lt;/periodical&gt;&lt;pages&gt;119-140&lt;/pages&gt;&lt;volume&gt;8&lt;/volume&gt;&lt;number&gt;1&lt;/number&gt;&lt;dates&gt;&lt;year&gt;2009&lt;/year&gt;&lt;/dates&gt;&lt;isbn&gt;1554-7191&amp;#xD;1555-1938&lt;/isbn&gt;&lt;urls&gt;&lt;/urls&gt;&lt;electronic-resource-num&gt;10.1007/s11365-009-0130-7&lt;/electronic-resource-num&gt;&lt;/record&gt;&lt;/Cite&gt;&lt;/EndNote&gt;</w:instrText>
      </w:r>
      <w:r w:rsidRPr="00FE16AE">
        <w:rPr>
          <w:sz w:val="20"/>
          <w:szCs w:val="20"/>
        </w:rPr>
        <w:fldChar w:fldCharType="separate"/>
      </w:r>
      <w:r w:rsidRPr="00FE16AE">
        <w:rPr>
          <w:sz w:val="20"/>
          <w:szCs w:val="20"/>
        </w:rPr>
        <w:t>(</w:t>
      </w:r>
      <w:hyperlink r:id="rId21" w:anchor="_ENREF_64" w:tooltip="St-Jean, 2009 #14379" w:history="1">
        <w:r w:rsidRPr="00FE16AE">
          <w:rPr>
            <w:sz w:val="20"/>
            <w:szCs w:val="20"/>
          </w:rPr>
          <w:t>St-Jean and Audet 2009</w:t>
        </w:r>
      </w:hyperlink>
      <w:r w:rsidRPr="00FE16AE">
        <w:rPr>
          <w:sz w:val="20"/>
          <w:szCs w:val="20"/>
        </w:rPr>
        <w:t>)</w:t>
      </w:r>
      <w:r w:rsidRPr="00FE16AE">
        <w:rPr>
          <w:sz w:val="20"/>
          <w:szCs w:val="20"/>
        </w:rPr>
        <w:fldChar w:fldCharType="end"/>
      </w:r>
      <w:r w:rsidRPr="00FE16AE">
        <w:rPr>
          <w:sz w:val="20"/>
          <w:szCs w:val="20"/>
        </w:rPr>
        <w:t xml:space="preserve">.  This learning has the potential to develop collective cognitive abilities consisting of differences and integration so that the knowledge sharing process in organizational systems is more effective, and political will and skills are needed to influence and institutionalize change systems.. </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22"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 xml:space="preserve">.  Individual and collective learning allows for the development of collective cognitive abilities consisting of differentiation and integration, this process allows entrepreneurs to act as learning agents to evaluate the possibilities that occur within the organization, develop coherent and collective action plans, and develop existing resources within the organization to identify opportunities existing opportunities. This allows the emergence of organizational innovation power. </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23"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 xml:space="preserve"> where innovation is the keyword in developing a tourism destination </w:t>
      </w:r>
      <w:r w:rsidRPr="00FE16AE">
        <w:rPr>
          <w:sz w:val="20"/>
          <w:szCs w:val="20"/>
        </w:rPr>
        <w:fldChar w:fldCharType="begin"/>
      </w:r>
      <w:r w:rsidRPr="00FE16AE">
        <w:rPr>
          <w:sz w:val="20"/>
          <w:szCs w:val="20"/>
        </w:rPr>
        <w:instrText xml:space="preserve"> ADDIN EN.CITE &lt;EndNote&gt;&lt;Cite&gt;&lt;Author&gt;Zach&lt;/Author&gt;&lt;Year&gt;2017&lt;/Year&gt;&lt;RecNum&gt;13553&lt;/RecNum&gt;&lt;DisplayText&gt;(Zach and Hill 2017)&lt;/DisplayText&gt;&lt;record&gt;&lt;rec-number&gt;13553&lt;/rec-number&gt;&lt;foreign-keys&gt;&lt;key app="EN" db-id="e2fw222f1azpvrewpa159x5yrrdwertvtxw0"&gt;13553&lt;/key&gt;&lt;/foreign-keys&gt;&lt;ref-type name="Journal Article"&gt;17&lt;/ref-type&gt;&lt;contributors&gt;&lt;authors&gt;&lt;author&gt;Zach, Florian J.&lt;/author&gt;&lt;author&gt;Hill, T. L.&lt;/author&gt;&lt;/authors&gt;&lt;/contributors&gt;&lt;titles&gt;&lt;title&gt;Network, knowledge and relationship impacts on innovation in tourism destinations&lt;/title&gt;&lt;secondary-title&gt;Tourism Management&lt;/secondary-title&gt;&lt;/titles&gt;&lt;periodical&gt;&lt;full-title&gt;Tourism Management&lt;/full-title&gt;&lt;/periodical&gt;&lt;pages&gt;196-207&lt;/pages&gt;&lt;volume&gt;62&lt;/volume&gt;&lt;section&gt;196&lt;/section&gt;&lt;dates&gt;&lt;year&gt;2017&lt;/year&gt;&lt;/dates&gt;&lt;isbn&gt;02615177&lt;/isbn&gt;&lt;urls&gt;&lt;/urls&gt;&lt;electronic-resource-num&gt;10.1016/j.tourman.2017.04.001&lt;/electronic-resource-num&gt;&lt;/record&gt;&lt;/Cite&gt;&lt;/EndNote&gt;</w:instrText>
      </w:r>
      <w:r w:rsidRPr="00FE16AE">
        <w:rPr>
          <w:sz w:val="20"/>
          <w:szCs w:val="20"/>
        </w:rPr>
        <w:fldChar w:fldCharType="separate"/>
      </w:r>
      <w:r w:rsidRPr="00FE16AE">
        <w:rPr>
          <w:sz w:val="20"/>
          <w:szCs w:val="20"/>
        </w:rPr>
        <w:t>(</w:t>
      </w:r>
      <w:hyperlink r:id="rId24" w:anchor="_ENREF_73" w:tooltip="Zach, 2017 #13553" w:history="1">
        <w:r w:rsidRPr="00FE16AE">
          <w:rPr>
            <w:sz w:val="20"/>
            <w:szCs w:val="20"/>
          </w:rPr>
          <w:t>Zach and Hill 2017</w:t>
        </w:r>
      </w:hyperlink>
      <w:r w:rsidRPr="00FE16AE">
        <w:rPr>
          <w:sz w:val="20"/>
          <w:szCs w:val="20"/>
        </w:rPr>
        <w:t>)</w:t>
      </w:r>
      <w:r w:rsidRPr="00FE16AE">
        <w:rPr>
          <w:sz w:val="20"/>
          <w:szCs w:val="20"/>
        </w:rPr>
        <w:fldChar w:fldCharType="end"/>
      </w:r>
      <w:r w:rsidRPr="00FE16AE">
        <w:rPr>
          <w:sz w:val="20"/>
          <w:szCs w:val="20"/>
        </w:rPr>
        <w:t xml:space="preserve">. </w:t>
      </w:r>
    </w:p>
    <w:p w14:paraId="6696050C" w14:textId="77777777" w:rsidR="00FE16AE" w:rsidRPr="00FE16AE" w:rsidRDefault="00FE16AE" w:rsidP="00FE16AE">
      <w:pPr>
        <w:widowControl/>
        <w:autoSpaceDE/>
        <w:autoSpaceDN/>
        <w:ind w:left="426" w:firstLine="283"/>
        <w:contextualSpacing/>
        <w:jc w:val="both"/>
        <w:rPr>
          <w:sz w:val="20"/>
          <w:szCs w:val="20"/>
        </w:rPr>
      </w:pPr>
      <w:r w:rsidRPr="00FE16AE">
        <w:rPr>
          <w:sz w:val="20"/>
          <w:szCs w:val="20"/>
        </w:rPr>
        <w:t xml:space="preserve">Exploratory and exploitative learning, The challenge for entrepreneurial learning is how to develop the skills and resources needed to explore and exploit opportunities as two distinct processes in entrepreneurship </w:t>
      </w:r>
      <w:r w:rsidRPr="00FE16AE">
        <w:rPr>
          <w:sz w:val="20"/>
          <w:szCs w:val="20"/>
        </w:rPr>
        <w:fldChar w:fldCharType="begin"/>
      </w:r>
      <w:r w:rsidRPr="00FE16AE">
        <w:rPr>
          <w:sz w:val="20"/>
          <w:szCs w:val="20"/>
        </w:rPr>
        <w:instrText xml:space="preserve"> ADDIN EN.CITE &lt;EndNote&gt;&lt;Cite&gt;&lt;Author&gt;Shane. S; Venkataraman&lt;/Author&gt;&lt;Year&gt;2000&lt;/Year&gt;&lt;RecNum&gt;14383&lt;/RecNum&gt;&lt;DisplayText&gt;(Shane. S; Venkataraman 2000)&lt;/DisplayText&gt;&lt;record&gt;&lt;rec-number&gt;14383&lt;/rec-number&gt;&lt;foreign-keys&gt;&lt;key app="EN" db-id="e2fw222f1azpvrewpa159x5yrrdwertvtxw0"&gt;14383&lt;/key&gt;&lt;/foreign-keys&gt;&lt;ref-type name="Journal Article"&gt;17&lt;/ref-type&gt;&lt;contributors&gt;&lt;authors&gt;&lt;author&gt;Shane. S; Venkataraman, S &lt;/author&gt;&lt;/authors&gt;&lt;/contributors&gt;&lt;titles&gt;&lt;title&gt;the promise of entrepreneurship as field of research &lt;/title&gt;&lt;secondary-title&gt;academy of Management Review&lt;/secondary-title&gt;&lt;/titles&gt;&lt;periodical&gt;&lt;full-title&gt;Academy of Management Review&lt;/full-title&gt;&lt;/periodical&gt;&lt;pages&gt;217 - 226&lt;/pages&gt;&lt;volume&gt;25&lt;/volume&gt;&lt;dates&gt;&lt;year&gt;2000&lt;/year&gt;&lt;/dates&gt;&lt;urls&gt;&lt;/urls&gt;&lt;/record&gt;&lt;/Cite&gt;&lt;/EndNote&gt;</w:instrText>
      </w:r>
      <w:r w:rsidRPr="00FE16AE">
        <w:rPr>
          <w:sz w:val="20"/>
          <w:szCs w:val="20"/>
        </w:rPr>
        <w:fldChar w:fldCharType="separate"/>
      </w:r>
      <w:r w:rsidRPr="00FE16AE">
        <w:rPr>
          <w:sz w:val="20"/>
          <w:szCs w:val="20"/>
        </w:rPr>
        <w:t>(</w:t>
      </w:r>
      <w:hyperlink r:id="rId25" w:anchor="_ENREF_61" w:tooltip="Shane. S; Venkataraman, 2000 #14383" w:history="1">
        <w:r w:rsidRPr="00FE16AE">
          <w:rPr>
            <w:sz w:val="20"/>
            <w:szCs w:val="20"/>
          </w:rPr>
          <w:t>Shane. S; Venkataraman 2000</w:t>
        </w:r>
      </w:hyperlink>
      <w:r w:rsidRPr="00FE16AE">
        <w:rPr>
          <w:sz w:val="20"/>
          <w:szCs w:val="20"/>
        </w:rPr>
        <w:t>)</w:t>
      </w:r>
      <w:r w:rsidRPr="00FE16AE">
        <w:rPr>
          <w:sz w:val="20"/>
          <w:szCs w:val="20"/>
        </w:rPr>
        <w:fldChar w:fldCharType="end"/>
      </w:r>
      <w:r w:rsidRPr="00FE16AE">
        <w:rPr>
          <w:sz w:val="20"/>
          <w:szCs w:val="20"/>
        </w:rPr>
        <w:t>. Exploratory learning focuses on discovery through application and interpretation to generate variations that will lead to ex-post (descriptions and evaluations are used after the action has occurred or from the past) to produce the desired result. This process seeks learning that enhances performance differences. While exploitative learning emphasizes the direct search process that can accept ex-ante planning (predictions and recommendations are used before action is taken or for the future) and sets the limits of differences obtained from deepening and embodiment of insight as increase inexperience. This means seeking learning that enhances performance and limits differences</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26"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 xml:space="preserve"> The integration of these two learning processes has differences in exploring and exploiting based on the required cognitive approach. In other words, exploratory and exploitative learning is a key factor in learning and </w:t>
      </w:r>
      <w:r w:rsidRPr="00FE16AE">
        <w:rPr>
          <w:sz w:val="20"/>
          <w:szCs w:val="20"/>
        </w:rPr>
        <w:lastRenderedPageBreak/>
        <w:t xml:space="preserve">understanding what and how an entrepreneur learns to explore and exploit existing opportunities. </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27"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 xml:space="preserve">. </w:t>
      </w:r>
    </w:p>
    <w:p w14:paraId="244C89EF" w14:textId="77777777" w:rsidR="00FE16AE" w:rsidRPr="00FE16AE" w:rsidRDefault="00FE16AE" w:rsidP="00FE16AE">
      <w:pPr>
        <w:widowControl/>
        <w:autoSpaceDE/>
        <w:autoSpaceDN/>
        <w:ind w:left="426" w:firstLine="283"/>
        <w:contextualSpacing/>
        <w:jc w:val="both"/>
        <w:rPr>
          <w:sz w:val="20"/>
          <w:szCs w:val="20"/>
        </w:rPr>
      </w:pPr>
      <w:r w:rsidRPr="00FE16AE">
        <w:rPr>
          <w:sz w:val="20"/>
          <w:szCs w:val="20"/>
        </w:rPr>
        <w:t xml:space="preserve">Sensing learning is a learning process that involves facts and details based on sight, hearing, and perceived physical sensations. Sensing learning considers concrete and practical thinking, considering that there is a tendency to find and identify opportunities that exist in the environment by understanding and analyzing the relationship of conditions that occur in the market. While intuitive learning is a learning process that is carried out by understanding the relationship between facts and the possibilities that exist. Intuitive learners are abstract-minded people, believing that they will be better able to find opportunities based on higher-level conceptual thinking. </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28"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 xml:space="preserve">. This learning process is a process where entrepreneurs find and create their own opportunities. </w:t>
      </w:r>
      <w:r w:rsidRPr="00FE16AE">
        <w:rPr>
          <w:sz w:val="20"/>
          <w:szCs w:val="20"/>
        </w:rPr>
        <w:fldChar w:fldCharType="begin"/>
      </w:r>
      <w:r w:rsidRPr="00FE16AE">
        <w:rPr>
          <w:sz w:val="20"/>
          <w:szCs w:val="20"/>
        </w:rPr>
        <w:instrText xml:space="preserve"> ADDIN EN.CITE &lt;EndNote&gt;&lt;Cite&gt;&lt;Author&gt;Chugh&lt;/Author&gt;&lt;Year&gt;2014&lt;/Year&gt;&lt;RecNum&gt;14309&lt;/RecNum&gt;&lt;DisplayText&gt;(Chugh 2014)&lt;/DisplayText&gt;&lt;record&gt;&lt;rec-number&gt;14309&lt;/rec-number&gt;&lt;foreign-keys&gt;&lt;key app="EN" db-id="e2fw222f1azpvrewpa159x5yrrdwertvtxw0"&gt;14309&lt;/key&gt;&lt;/foreign-keys&gt;&lt;ref-type name="Journal Article"&gt;17&lt;/ref-type&gt;&lt;contributors&gt;&lt;authors&gt;&lt;author&gt;Wang Catherine  L. ;  Harveen Chugh&lt;/author&gt;&lt;/authors&gt;&lt;/contributors&gt;&lt;titles&gt;&lt;title&gt;Entrepreneurial Learning: Past Research and Future Challenges&lt;/title&gt;&lt;secondary-title&gt;International Journal of Management Reviews, &amp;#xD;DOI: 10.1111/ijmr.12007&lt;/secondary-title&gt;&lt;/titles&gt;&lt;pages&gt;24-61&lt;/pages&gt;&lt;volume&gt;Vol. 16, &lt;/volume&gt;&lt;number&gt; &lt;/number&gt;&lt;dates&gt;&lt;year&gt;2014&lt;/year&gt;&lt;/dates&gt;&lt;urls&gt;&lt;/urls&gt;&lt;electronic-resource-num&gt;10.1111/ijmr.12007&lt;/electronic-resource-num&gt;&lt;/record&gt;&lt;/Cite&gt;&lt;/EndNote&gt;</w:instrText>
      </w:r>
      <w:r w:rsidRPr="00FE16AE">
        <w:rPr>
          <w:sz w:val="20"/>
          <w:szCs w:val="20"/>
        </w:rPr>
        <w:fldChar w:fldCharType="separate"/>
      </w:r>
      <w:r w:rsidRPr="00FE16AE">
        <w:rPr>
          <w:sz w:val="20"/>
          <w:szCs w:val="20"/>
        </w:rPr>
        <w:t>(</w:t>
      </w:r>
      <w:hyperlink r:id="rId29" w:anchor="_ENREF_13" w:tooltip="Chugh, 2014 #14309" w:history="1">
        <w:r w:rsidRPr="00FE16AE">
          <w:rPr>
            <w:sz w:val="20"/>
            <w:szCs w:val="20"/>
          </w:rPr>
          <w:t>Chugh 2014</w:t>
        </w:r>
      </w:hyperlink>
      <w:r w:rsidRPr="00FE16AE">
        <w:rPr>
          <w:sz w:val="20"/>
          <w:szCs w:val="20"/>
        </w:rPr>
        <w:t>)</w:t>
      </w:r>
      <w:r w:rsidRPr="00FE16AE">
        <w:rPr>
          <w:sz w:val="20"/>
          <w:szCs w:val="20"/>
        </w:rPr>
        <w:fldChar w:fldCharType="end"/>
      </w:r>
      <w:r w:rsidRPr="00FE16AE">
        <w:rPr>
          <w:sz w:val="20"/>
          <w:szCs w:val="20"/>
        </w:rPr>
        <w:t xml:space="preserve">. </w:t>
      </w:r>
    </w:p>
    <w:p w14:paraId="275450DF" w14:textId="77777777" w:rsidR="00FE16AE" w:rsidRPr="00FE16AE" w:rsidRDefault="00FE16AE" w:rsidP="00FE16AE">
      <w:pPr>
        <w:widowControl/>
        <w:autoSpaceDE/>
        <w:autoSpaceDN/>
        <w:ind w:left="426" w:firstLine="283"/>
        <w:contextualSpacing/>
        <w:jc w:val="both"/>
        <w:rPr>
          <w:sz w:val="20"/>
          <w:szCs w:val="20"/>
        </w:rPr>
      </w:pPr>
      <w:r w:rsidRPr="00FE16AE">
        <w:rPr>
          <w:sz w:val="20"/>
          <w:szCs w:val="20"/>
        </w:rPr>
        <w:t xml:space="preserve">A successful entrepreneur has a behavior such as share ideas and information with others, accepting suggestions and constructive criticism, and providing clinical coaching to other entrepreneurs to form a strong collaborative network. </w:t>
      </w:r>
      <w:r w:rsidRPr="00FE16AE">
        <w:rPr>
          <w:sz w:val="20"/>
          <w:szCs w:val="20"/>
        </w:rPr>
        <w:fldChar w:fldCharType="begin"/>
      </w:r>
      <w:r w:rsidRPr="00FE16AE">
        <w:rPr>
          <w:sz w:val="20"/>
          <w:szCs w:val="20"/>
        </w:rPr>
        <w:instrText xml:space="preserve"> ADDIN EN.CITE &lt;EndNote&gt;&lt;Cite&gt;&lt;Author&gt;Ernest&lt;/Author&gt;&lt;Year&gt;2015&lt;/Year&gt;&lt;RecNum&gt;14380&lt;/RecNum&gt;&lt;DisplayText&gt;(Ernest, Matthew et al. 2015)&lt;/DisplayText&gt;&lt;record&gt;&lt;rec-number&gt;14380&lt;/rec-number&gt;&lt;foreign-keys&gt;&lt;key app="EN" db-id="e2fw222f1azpvrewpa159x5yrrdwertvtxw0"&gt;14380&lt;/key&gt;&lt;key app="ENWeb" db-id=""&gt;0&lt;/key&gt;&lt;/foreign-keys&gt;&lt;ref-type name="Journal Article"&gt;17&lt;/ref-type&gt;&lt;contributors&gt;&lt;authors&gt;&lt;author&gt;Ernest, Kissi&lt;/author&gt;&lt;author&gt;Matthew, Somiah K.&lt;/author&gt;&lt;author&gt;Samuel, Ansah K.&lt;/author&gt;&lt;/authors&gt;&lt;/contributors&gt;&lt;titles&gt;&lt;title&gt;Towards Entrepreneurial Learning Competencies: The Perspective of Built Environment Students&lt;/title&gt;&lt;secondary-title&gt;Higher Education Studies&lt;/secondary-title&gt;&lt;/titles&gt;&lt;periodical&gt;&lt;full-title&gt;Higher Education Studies&lt;/full-title&gt;&lt;/periodical&gt;&lt;volume&gt;5&lt;/volume&gt;&lt;number&gt;1&lt;/number&gt;&lt;dates&gt;&lt;year&gt;2015&lt;/year&gt;&lt;/dates&gt;&lt;isbn&gt;1925-475X&amp;#xD;1925-4741&lt;/isbn&gt;&lt;urls&gt;&lt;/urls&gt;&lt;electronic-resource-num&gt;10.5539/hes.v5n1p20&lt;/electronic-resource-num&gt;&lt;/record&gt;&lt;/Cite&gt;&lt;/EndNote&gt;</w:instrText>
      </w:r>
      <w:r w:rsidRPr="00FE16AE">
        <w:rPr>
          <w:sz w:val="20"/>
          <w:szCs w:val="20"/>
        </w:rPr>
        <w:fldChar w:fldCharType="separate"/>
      </w:r>
      <w:r w:rsidRPr="00FE16AE">
        <w:rPr>
          <w:sz w:val="20"/>
          <w:szCs w:val="20"/>
        </w:rPr>
        <w:t>(</w:t>
      </w:r>
      <w:hyperlink r:id="rId30" w:anchor="_ENREF_20" w:tooltip="Ernest, 2015 #14380" w:history="1">
        <w:r w:rsidRPr="00FE16AE">
          <w:rPr>
            <w:sz w:val="20"/>
            <w:szCs w:val="20"/>
          </w:rPr>
          <w:t>Ernest, Matthew et al. 2015</w:t>
        </w:r>
      </w:hyperlink>
      <w:r w:rsidRPr="00FE16AE">
        <w:rPr>
          <w:sz w:val="20"/>
          <w:szCs w:val="20"/>
        </w:rPr>
        <w:t>)</w:t>
      </w:r>
      <w:r w:rsidRPr="00FE16AE">
        <w:rPr>
          <w:sz w:val="20"/>
          <w:szCs w:val="20"/>
        </w:rPr>
        <w:fldChar w:fldCharType="end"/>
      </w:r>
      <w:r w:rsidRPr="00FE16AE">
        <w:rPr>
          <w:sz w:val="20"/>
          <w:szCs w:val="20"/>
        </w:rPr>
        <w:t xml:space="preserve">. </w:t>
      </w:r>
      <w:hyperlink r:id="rId31" w:anchor="_ENREF_20" w:tooltip="Ernest, 2015 #14380" w:history="1">
        <w:r w:rsidRPr="00FE16AE">
          <w:rPr>
            <w:sz w:val="20"/>
            <w:szCs w:val="20"/>
          </w:rPr>
          <w:fldChar w:fldCharType="begin"/>
        </w:r>
        <w:r w:rsidRPr="00FE16AE">
          <w:rPr>
            <w:sz w:val="20"/>
            <w:szCs w:val="20"/>
          </w:rPr>
          <w:instrText xml:space="preserve"> ADDIN EN.CITE &lt;EndNote&gt;&lt;Cite AuthorYear="1"&gt;&lt;Author&gt;Ernest&lt;/Author&gt;&lt;Year&gt;2015&lt;/Year&gt;&lt;RecNum&gt;14380&lt;/RecNum&gt;&lt;DisplayText&gt;Ernest, Matthew et al. (2015)&lt;/DisplayText&gt;&lt;record&gt;&lt;rec-number&gt;14380&lt;/rec-number&gt;&lt;foreign-keys&gt;&lt;key app="EN" db-id="e2fw222f1azpvrewpa159x5yrrdwertvtxw0"&gt;14380&lt;/key&gt;&lt;key app="ENWeb" db-id=""&gt;0&lt;/key&gt;&lt;/foreign-keys&gt;&lt;ref-type name="Journal Article"&gt;17&lt;/ref-type&gt;&lt;contributors&gt;&lt;authors&gt;&lt;author&gt;Ernest, Kissi&lt;/author&gt;&lt;author&gt;Matthew, Somiah K.&lt;/author&gt;&lt;author&gt;Samuel, Ansah K.&lt;/author&gt;&lt;/authors&gt;&lt;/contributors&gt;&lt;titles&gt;&lt;title&gt;Towards Entrepreneurial Learning Competencies: The Perspective of Built Environment Students&lt;/title&gt;&lt;secondary-title&gt;Higher Education Studies&lt;/secondary-title&gt;&lt;/titles&gt;&lt;periodical&gt;&lt;full-title&gt;Higher Education Studies&lt;/full-title&gt;&lt;/periodical&gt;&lt;volume&gt;5&lt;/volume&gt;&lt;number&gt;1&lt;/number&gt;&lt;dates&gt;&lt;year&gt;2015&lt;/year&gt;&lt;/dates&gt;&lt;isbn&gt;1925-475X&amp;#xD;1925-4741&lt;/isbn&gt;&lt;urls&gt;&lt;/urls&gt;&lt;electronic-resource-num&gt;10.5539/hes.v5n1p20&lt;/electronic-resource-num&gt;&lt;/record&gt;&lt;/Cite&gt;&lt;/EndNote&gt;</w:instrText>
        </w:r>
        <w:r w:rsidRPr="00FE16AE">
          <w:rPr>
            <w:sz w:val="20"/>
            <w:szCs w:val="20"/>
          </w:rPr>
          <w:fldChar w:fldCharType="separate"/>
        </w:r>
        <w:r w:rsidRPr="00FE16AE">
          <w:rPr>
            <w:sz w:val="20"/>
            <w:szCs w:val="20"/>
          </w:rPr>
          <w:t>Ernest, Matthew et al. (2015)</w:t>
        </w:r>
        <w:r w:rsidRPr="00FE16AE">
          <w:rPr>
            <w:sz w:val="20"/>
            <w:szCs w:val="20"/>
          </w:rPr>
          <w:fldChar w:fldCharType="end"/>
        </w:r>
      </w:hyperlink>
      <w:r w:rsidRPr="00FE16AE">
        <w:rPr>
          <w:sz w:val="20"/>
          <w:szCs w:val="20"/>
        </w:rPr>
        <w:t xml:space="preserve"> stated that entrepreneurial learning aims to increase creativity, have high innovation power, and entrepreneurial spirit, become someone who can solve problems effectively, communicate and have a network and become a leader.</w:t>
      </w:r>
    </w:p>
    <w:p w14:paraId="68AF3395" w14:textId="77777777" w:rsidR="00FE16AE" w:rsidRPr="00FE16AE" w:rsidRDefault="00FE16AE" w:rsidP="00FE16AE">
      <w:pPr>
        <w:widowControl/>
        <w:autoSpaceDE/>
        <w:autoSpaceDN/>
        <w:ind w:left="426"/>
        <w:contextualSpacing/>
        <w:jc w:val="both"/>
        <w:rPr>
          <w:i/>
          <w:iCs/>
          <w:sz w:val="20"/>
          <w:szCs w:val="20"/>
        </w:rPr>
      </w:pPr>
    </w:p>
    <w:p w14:paraId="245ABA4A" w14:textId="77777777" w:rsidR="00FE16AE" w:rsidRPr="00FE16AE" w:rsidRDefault="00FE16AE" w:rsidP="00FE16AE">
      <w:pPr>
        <w:widowControl/>
        <w:autoSpaceDE/>
        <w:autoSpaceDN/>
        <w:ind w:left="426"/>
        <w:contextualSpacing/>
        <w:jc w:val="both"/>
        <w:rPr>
          <w:i/>
          <w:iCs/>
          <w:sz w:val="20"/>
          <w:szCs w:val="20"/>
        </w:rPr>
      </w:pPr>
      <w:bookmarkStart w:id="0" w:name="_Toc530629731"/>
      <w:r w:rsidRPr="00FE16AE">
        <w:rPr>
          <w:i/>
          <w:iCs/>
          <w:sz w:val="20"/>
          <w:szCs w:val="20"/>
        </w:rPr>
        <w:t xml:space="preserve">2.3.   </w:t>
      </w:r>
      <w:bookmarkEnd w:id="0"/>
      <w:r w:rsidRPr="00FE16AE">
        <w:rPr>
          <w:i/>
          <w:iCs/>
          <w:sz w:val="20"/>
          <w:szCs w:val="20"/>
        </w:rPr>
        <w:t xml:space="preserve">Multiple network interaction </w:t>
      </w:r>
    </w:p>
    <w:p w14:paraId="47A97695" w14:textId="77777777" w:rsidR="00FE16AE" w:rsidRPr="00FE16AE" w:rsidRDefault="00FE16AE" w:rsidP="00FE16AE">
      <w:pPr>
        <w:widowControl/>
        <w:autoSpaceDE/>
        <w:autoSpaceDN/>
        <w:ind w:left="426" w:firstLine="283"/>
        <w:contextualSpacing/>
        <w:jc w:val="both"/>
        <w:rPr>
          <w:sz w:val="20"/>
          <w:szCs w:val="20"/>
        </w:rPr>
      </w:pPr>
      <w:r w:rsidRPr="00FE16AE">
        <w:rPr>
          <w:sz w:val="20"/>
          <w:szCs w:val="20"/>
        </w:rPr>
        <w:t>The speed of identifying relevant knowledge for (some or all) network members becomes very challenging for organizations. Therefore, the network must identify potential target groups as well as subgroups that are responsible for increasing observations (Iansiti and Lakhani, 2014).</w:t>
      </w:r>
    </w:p>
    <w:p w14:paraId="032595C5" w14:textId="77777777" w:rsidR="00FE16AE" w:rsidRDefault="00FE16AE" w:rsidP="00FE16AE">
      <w:pPr>
        <w:widowControl/>
        <w:autoSpaceDE/>
        <w:autoSpaceDN/>
        <w:ind w:left="426" w:firstLine="283"/>
        <w:contextualSpacing/>
        <w:jc w:val="both"/>
        <w:rPr>
          <w:sz w:val="20"/>
          <w:szCs w:val="20"/>
        </w:rPr>
      </w:pPr>
      <w:r w:rsidRPr="00FE16AE">
        <w:rPr>
          <w:sz w:val="20"/>
          <w:szCs w:val="20"/>
        </w:rPr>
        <w:t>Collaboration capabilities should be enhanced by the network to facilitate problem-solving and evaluation (Schäper and Thalmann, 2015). Past research has argued for a collaborative tagging approach that formalizes communication and knowledge exchange, leading to easier identification and communication with others or within the same community (Ravenscroft et al. 2012). Networks tend to build their structure according to region, because high geographical proximity facilitates discussions and meetings, leading to the need for higher collaboration capabilities (Schamp and Lo, 2004). If the network uses IT for virtual communication and collaboration such as Skype or Google Docs to connect people with lower geographic proximity, the network can lower their regional boundaries (Olaisen and O. Revang, 2017).</w:t>
      </w:r>
    </w:p>
    <w:p w14:paraId="1E4781BA" w14:textId="77777777" w:rsidR="00FE16AE" w:rsidRDefault="00FE16AE" w:rsidP="00FE16AE">
      <w:pPr>
        <w:widowControl/>
        <w:autoSpaceDE/>
        <w:autoSpaceDN/>
        <w:ind w:firstLine="426"/>
        <w:contextualSpacing/>
        <w:jc w:val="both"/>
        <w:rPr>
          <w:sz w:val="20"/>
          <w:szCs w:val="20"/>
        </w:rPr>
      </w:pPr>
    </w:p>
    <w:p w14:paraId="1BE6C2D8" w14:textId="53EF4C1B" w:rsidR="00FE16AE" w:rsidRPr="00FE16AE" w:rsidRDefault="00FE16AE" w:rsidP="00FE16AE">
      <w:pPr>
        <w:widowControl/>
        <w:autoSpaceDE/>
        <w:autoSpaceDN/>
        <w:ind w:firstLine="426"/>
        <w:contextualSpacing/>
        <w:jc w:val="both"/>
        <w:rPr>
          <w:sz w:val="20"/>
          <w:szCs w:val="20"/>
        </w:rPr>
      </w:pPr>
      <w:r w:rsidRPr="00FE16AE">
        <w:rPr>
          <w:sz w:val="20"/>
          <w:szCs w:val="20"/>
        </w:rPr>
        <w:t>So that the hypothesis proposed in this study is:</w:t>
      </w:r>
    </w:p>
    <w:p w14:paraId="7ECD905D" w14:textId="77777777" w:rsidR="00FE16AE" w:rsidRPr="00FE16AE" w:rsidRDefault="00FE16AE" w:rsidP="00FE16AE">
      <w:pPr>
        <w:widowControl/>
        <w:autoSpaceDE/>
        <w:autoSpaceDN/>
        <w:ind w:left="720"/>
        <w:contextualSpacing/>
        <w:jc w:val="both"/>
        <w:rPr>
          <w:sz w:val="20"/>
          <w:szCs w:val="20"/>
        </w:rPr>
      </w:pPr>
      <w:r w:rsidRPr="00FE16AE">
        <w:rPr>
          <w:sz w:val="20"/>
          <w:szCs w:val="20"/>
        </w:rPr>
        <w:t>H1: entrepreneur learning which includes individual and collective learning, exploratory and exploitative learning, and intuitive and sensing learning will trigger an increase in multiple network interactions.</w:t>
      </w:r>
    </w:p>
    <w:p w14:paraId="206E9D67" w14:textId="77777777" w:rsidR="00FE16AE" w:rsidRDefault="00FE16AE" w:rsidP="00FE16AE">
      <w:pPr>
        <w:widowControl/>
        <w:autoSpaceDE/>
        <w:autoSpaceDN/>
        <w:ind w:left="720"/>
        <w:contextualSpacing/>
        <w:jc w:val="both"/>
        <w:rPr>
          <w:sz w:val="20"/>
          <w:szCs w:val="20"/>
        </w:rPr>
      </w:pPr>
    </w:p>
    <w:p w14:paraId="2F282CF5" w14:textId="1B3D7999" w:rsidR="00FE16AE" w:rsidRPr="00FE16AE" w:rsidRDefault="00FE16AE" w:rsidP="00FE16AE">
      <w:pPr>
        <w:widowControl/>
        <w:autoSpaceDE/>
        <w:autoSpaceDN/>
        <w:ind w:left="720"/>
        <w:contextualSpacing/>
        <w:jc w:val="both"/>
        <w:rPr>
          <w:sz w:val="20"/>
          <w:szCs w:val="20"/>
        </w:rPr>
      </w:pPr>
      <w:r w:rsidRPr="00FE16AE">
        <w:rPr>
          <w:sz w:val="20"/>
          <w:szCs w:val="20"/>
        </w:rPr>
        <w:t>H2: Destination competitive advantage is supported by entrepreneurial learning behavior and Multiple network interactions</w:t>
      </w:r>
    </w:p>
    <w:p w14:paraId="2F035FD9" w14:textId="77777777" w:rsidR="000753EB" w:rsidRDefault="000753EB" w:rsidP="00386A71">
      <w:pPr>
        <w:pStyle w:val="BodyText"/>
        <w:spacing w:before="10"/>
        <w:ind w:left="284"/>
        <w:rPr>
          <w:sz w:val="18"/>
        </w:rPr>
      </w:pPr>
    </w:p>
    <w:p w14:paraId="1150F937" w14:textId="01D46FA3" w:rsidR="00FE16AE" w:rsidRDefault="00FE16AE" w:rsidP="00FE16AE">
      <w:pPr>
        <w:pStyle w:val="Heading2"/>
        <w:ind w:right="-14"/>
      </w:pPr>
      <w:r w:rsidRPr="00FE16AE">
        <w:t>DIRECTIONS FOR FUTURE RESEARCH</w:t>
      </w:r>
    </w:p>
    <w:p w14:paraId="4DCB605C" w14:textId="77777777" w:rsidR="00FE16AE" w:rsidRPr="00FE16AE" w:rsidRDefault="00FE16AE" w:rsidP="00FE16AE">
      <w:pPr>
        <w:pStyle w:val="Heading2"/>
        <w:ind w:right="-14"/>
      </w:pPr>
    </w:p>
    <w:p w14:paraId="24F56A0B" w14:textId="77777777" w:rsidR="000753EB" w:rsidRDefault="00FE16AE" w:rsidP="00FE16AE">
      <w:pPr>
        <w:widowControl/>
        <w:autoSpaceDE/>
        <w:autoSpaceDN/>
        <w:spacing w:line="244" w:lineRule="auto"/>
        <w:ind w:left="426" w:firstLine="425"/>
        <w:contextualSpacing/>
        <w:jc w:val="both"/>
        <w:rPr>
          <w:sz w:val="20"/>
          <w:szCs w:val="20"/>
        </w:rPr>
      </w:pPr>
      <w:r w:rsidRPr="00FE16AE">
        <w:rPr>
          <w:sz w:val="20"/>
          <w:szCs w:val="20"/>
        </w:rPr>
        <w:t xml:space="preserve">Examine the influence of other factors that influence destination competitive advantage other than Multiple network interactions and entrepreneur learning on wider tourism marketing. The addition of added value creation factors in tourist destinations can be considered for coloring further research </w:t>
      </w:r>
      <w:r>
        <w:rPr>
          <w:sz w:val="20"/>
          <w:szCs w:val="20"/>
        </w:rPr>
        <w:t>.</w:t>
      </w:r>
    </w:p>
    <w:p w14:paraId="62AD1FE9" w14:textId="77777777" w:rsidR="00FE16AE" w:rsidRDefault="00FE16AE" w:rsidP="00FE16AE">
      <w:pPr>
        <w:widowControl/>
        <w:autoSpaceDE/>
        <w:autoSpaceDN/>
        <w:spacing w:line="244" w:lineRule="auto"/>
        <w:contextualSpacing/>
        <w:jc w:val="both"/>
        <w:rPr>
          <w:sz w:val="20"/>
          <w:szCs w:val="20"/>
        </w:rPr>
      </w:pPr>
    </w:p>
    <w:p w14:paraId="78C3C0A2" w14:textId="257A11B5" w:rsidR="00FE16AE" w:rsidRPr="00FE16AE" w:rsidRDefault="00FE16AE" w:rsidP="00FE16AE">
      <w:pPr>
        <w:pStyle w:val="Heading2"/>
        <w:ind w:right="-14"/>
      </w:pPr>
      <w:r w:rsidRPr="00FE16AE">
        <w:t>PRACTICAL IMPLICATIONS</w:t>
      </w:r>
    </w:p>
    <w:p w14:paraId="08C1F034" w14:textId="77777777" w:rsidR="00FE16AE" w:rsidRPr="00FE16AE" w:rsidRDefault="00FE16AE" w:rsidP="00FE16AE">
      <w:pPr>
        <w:pStyle w:val="ListParagraph"/>
        <w:ind w:left="426" w:firstLine="720"/>
        <w:jc w:val="both"/>
        <w:rPr>
          <w:sz w:val="20"/>
          <w:szCs w:val="20"/>
        </w:rPr>
      </w:pPr>
      <w:r w:rsidRPr="00FE16AE">
        <w:rPr>
          <w:sz w:val="20"/>
          <w:szCs w:val="20"/>
        </w:rPr>
        <w:t>A better understanding of how individual and collective learning, exploratory and exploitative learning, and intuitive and sensing learning will result in multiple network interactions and potentially create a tourism competitive advantage. This research is expected to provide benefits for the development of science, especially Strategic Management in understanding individual characteristics in carrying out the learning process in organizations, as a reference for strategic plans for sustainable tourism development in Joglosemar and as a reference for other researchers who will take the theme kind.</w:t>
      </w:r>
    </w:p>
    <w:p w14:paraId="00EFB90A" w14:textId="77777777" w:rsidR="00FE16AE" w:rsidRDefault="00FE16AE" w:rsidP="00FE16AE">
      <w:pPr>
        <w:pStyle w:val="Heading2"/>
        <w:ind w:right="-14"/>
      </w:pPr>
    </w:p>
    <w:p w14:paraId="1328BD5B" w14:textId="22FDE2BA" w:rsidR="00FE16AE" w:rsidRPr="00FE16AE" w:rsidRDefault="00FE16AE" w:rsidP="00FE16AE">
      <w:pPr>
        <w:pStyle w:val="Heading2"/>
        <w:ind w:right="-14" w:firstLine="84"/>
      </w:pPr>
      <w:r w:rsidRPr="00FE16AE">
        <w:t xml:space="preserve">CONCLUSION </w:t>
      </w:r>
    </w:p>
    <w:p w14:paraId="1CF503F5" w14:textId="77777777" w:rsidR="00FE16AE" w:rsidRPr="00FE16AE" w:rsidRDefault="00FE16AE" w:rsidP="00FE16AE">
      <w:pPr>
        <w:pStyle w:val="ListParagraph"/>
        <w:ind w:left="426" w:firstLine="720"/>
        <w:jc w:val="both"/>
        <w:rPr>
          <w:sz w:val="20"/>
          <w:szCs w:val="20"/>
        </w:rPr>
      </w:pPr>
      <w:r w:rsidRPr="00FE16AE">
        <w:rPr>
          <w:sz w:val="20"/>
          <w:szCs w:val="20"/>
        </w:rPr>
        <w:t xml:space="preserve">This article proposes the concept of developing a tourism destination competitive advantage (Destination competitive advantage) which emphasizes tourism development on network connectivity/networking of tourism actors through Entrepreneur Learning.  </w:t>
      </w:r>
    </w:p>
    <w:p w14:paraId="4D497F9D" w14:textId="219EC30A" w:rsidR="00FE16AE" w:rsidRPr="00FE16AE" w:rsidRDefault="00FE16AE" w:rsidP="00FE16AE">
      <w:pPr>
        <w:widowControl/>
        <w:autoSpaceDE/>
        <w:autoSpaceDN/>
        <w:spacing w:line="244" w:lineRule="auto"/>
        <w:contextualSpacing/>
        <w:jc w:val="both"/>
        <w:rPr>
          <w:sz w:val="20"/>
          <w:szCs w:val="20"/>
        </w:rPr>
        <w:sectPr w:rsidR="00FE16AE" w:rsidRPr="00FE16AE" w:rsidSect="00E054FD">
          <w:headerReference w:type="default" r:id="rId32"/>
          <w:footerReference w:type="default" r:id="rId33"/>
          <w:type w:val="continuous"/>
          <w:pgSz w:w="11900" w:h="16850"/>
          <w:pgMar w:top="300" w:right="1340" w:bottom="280" w:left="1360" w:header="720" w:footer="720" w:gutter="0"/>
          <w:cols w:space="327"/>
        </w:sectPr>
      </w:pPr>
    </w:p>
    <w:p w14:paraId="17B18DEB" w14:textId="77777777" w:rsidR="000753EB" w:rsidRDefault="000753EB">
      <w:pPr>
        <w:pStyle w:val="BodyText"/>
      </w:pPr>
    </w:p>
    <w:p w14:paraId="119E28B8" w14:textId="77777777" w:rsidR="000753EB" w:rsidRDefault="000753EB">
      <w:pPr>
        <w:pStyle w:val="BodyText"/>
        <w:rPr>
          <w:sz w:val="18"/>
        </w:rPr>
      </w:pPr>
    </w:p>
    <w:p w14:paraId="7B8CE518" w14:textId="77777777" w:rsidR="000753EB" w:rsidRDefault="000753EB">
      <w:pPr>
        <w:rPr>
          <w:sz w:val="18"/>
        </w:rPr>
        <w:sectPr w:rsidR="000753EB">
          <w:pgSz w:w="11900" w:h="16850"/>
          <w:pgMar w:top="1160" w:right="1340" w:bottom="1000" w:left="1360" w:header="757" w:footer="815" w:gutter="0"/>
          <w:cols w:space="720"/>
        </w:sectPr>
      </w:pPr>
    </w:p>
    <w:p w14:paraId="673DCA25" w14:textId="3CE23F9C" w:rsidR="000753EB" w:rsidRDefault="00D80DB2">
      <w:pPr>
        <w:pStyle w:val="Heading2"/>
        <w:spacing w:before="100"/>
      </w:pPr>
      <w:r>
        <w:t>REFERENCES</w:t>
      </w:r>
    </w:p>
    <w:p w14:paraId="44940363" w14:textId="77777777" w:rsidR="009C031F" w:rsidRDefault="009C031F" w:rsidP="009C031F">
      <w:pPr>
        <w:adjustRightInd w:val="0"/>
        <w:ind w:left="1051" w:hanging="709"/>
        <w:jc w:val="both"/>
        <w:rPr>
          <w:rFonts w:ascii="Times New Roman" w:hAnsi="Times New Roman"/>
          <w:color w:val="000000"/>
          <w:sz w:val="24"/>
          <w:szCs w:val="24"/>
        </w:rPr>
      </w:pPr>
    </w:p>
    <w:p w14:paraId="7EED803C" w14:textId="0D4FAC5C" w:rsidR="009C031F" w:rsidRDefault="009C031F" w:rsidP="009C031F">
      <w:pPr>
        <w:adjustRightInd w:val="0"/>
        <w:ind w:left="1051" w:hanging="709"/>
        <w:jc w:val="both"/>
        <w:rPr>
          <w:rFonts w:ascii="Times New Roman" w:eastAsia="Calibri" w:hAnsi="Times New Roman" w:cs="Times New Roman"/>
          <w:color w:val="000000"/>
          <w:sz w:val="24"/>
          <w:szCs w:val="24"/>
        </w:rPr>
      </w:pPr>
      <w:r>
        <w:rPr>
          <w:rFonts w:ascii="Times New Roman" w:hAnsi="Times New Roman"/>
          <w:color w:val="000000"/>
          <w:sz w:val="24"/>
          <w:szCs w:val="24"/>
        </w:rPr>
        <w:t xml:space="preserve">Adamczyk, S., Bullinger, A. C., &amp; Möslein, K. M. (2012). Innovation contests: A review, classification and outlook: Innovation contests. Creativity and Innovation Management, 21(4), 335–360. </w:t>
      </w:r>
    </w:p>
    <w:p w14:paraId="785D7DEC" w14:textId="77777777" w:rsidR="009C031F" w:rsidRDefault="009C031F" w:rsidP="009C031F">
      <w:pPr>
        <w:adjustRightInd w:val="0"/>
        <w:ind w:left="1051" w:hanging="709"/>
        <w:jc w:val="both"/>
        <w:rPr>
          <w:rFonts w:ascii="Times New Roman" w:hAnsi="Times New Roman"/>
          <w:color w:val="000000"/>
          <w:sz w:val="24"/>
          <w:szCs w:val="24"/>
        </w:rPr>
      </w:pPr>
    </w:p>
    <w:p w14:paraId="35B4B7F4"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color w:val="000000"/>
          <w:sz w:val="24"/>
          <w:szCs w:val="24"/>
        </w:rPr>
        <w:t xml:space="preserve">Annanperä, E., Liukkunen, K., &amp; Markkula, J. (2016). Managing emerging business ecosystems– A knowledge management viewpoint. </w:t>
      </w:r>
    </w:p>
    <w:p w14:paraId="7101D0CC" w14:textId="77777777" w:rsidR="009C031F" w:rsidRDefault="009C031F" w:rsidP="009C031F">
      <w:pPr>
        <w:adjustRightInd w:val="0"/>
        <w:ind w:left="1051" w:hanging="709"/>
        <w:jc w:val="both"/>
        <w:rPr>
          <w:rFonts w:ascii="Times New Roman" w:hAnsi="Times New Roman"/>
          <w:color w:val="000000"/>
          <w:sz w:val="24"/>
          <w:szCs w:val="24"/>
        </w:rPr>
      </w:pPr>
    </w:p>
    <w:p w14:paraId="6DB4150C"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color w:val="000000"/>
          <w:sz w:val="24"/>
          <w:szCs w:val="24"/>
        </w:rPr>
        <w:t>Boudreau, K. J., &amp; Lakhani, K. R. (2013). Using the crowd as an innovation partner. Harvard Business Review, 91(4), 60–69, 140. </w:t>
      </w:r>
    </w:p>
    <w:p w14:paraId="30985FC7" w14:textId="77777777" w:rsidR="009C031F" w:rsidRDefault="009C031F" w:rsidP="009C031F">
      <w:pPr>
        <w:adjustRightInd w:val="0"/>
        <w:ind w:left="1051" w:hanging="709"/>
        <w:jc w:val="both"/>
        <w:rPr>
          <w:rFonts w:ascii="Times New Roman" w:hAnsi="Times New Roman"/>
          <w:b/>
          <w:bCs/>
          <w:color w:val="000000"/>
          <w:sz w:val="24"/>
          <w:szCs w:val="24"/>
        </w:rPr>
      </w:pPr>
      <w:r>
        <w:rPr>
          <w:rFonts w:ascii="Times New Roman" w:hAnsi="Times New Roman"/>
          <w:sz w:val="24"/>
          <w:szCs w:val="24"/>
        </w:rPr>
        <w:fldChar w:fldCharType="begin"/>
      </w:r>
      <w:r w:rsidRPr="009C031F">
        <w:rPr>
          <w:rFonts w:ascii="Times New Roman" w:hAnsi="Times New Roman"/>
          <w:sz w:val="24"/>
          <w:szCs w:val="24"/>
        </w:rPr>
        <w:instrText xml:space="preserve"> ADDIN EN.REFLIST </w:instrText>
      </w:r>
      <w:r>
        <w:rPr>
          <w:rFonts w:ascii="Times New Roman" w:hAnsi="Times New Roman"/>
          <w:sz w:val="24"/>
          <w:szCs w:val="24"/>
        </w:rPr>
        <w:fldChar w:fldCharType="separate"/>
      </w:r>
      <w:bookmarkStart w:id="1" w:name="_ENREF_7"/>
    </w:p>
    <w:p w14:paraId="609F16DB"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2" w:name="_ENREF_10"/>
      <w:bookmarkEnd w:id="1"/>
      <w:r>
        <w:rPr>
          <w:rFonts w:ascii="Times New Roman" w:hAnsi="Times New Roman" w:cs="Times New Roman"/>
          <w:sz w:val="24"/>
          <w:szCs w:val="24"/>
        </w:rPr>
        <w:t>Carvalho, N. and I. Gomes (2017). "</w:t>
      </w:r>
      <w:r>
        <w:rPr>
          <w:rFonts w:ascii="Times New Roman" w:hAnsi="Times New Roman" w:cs="Times New Roman"/>
          <w:i/>
          <w:iCs/>
          <w:sz w:val="24"/>
          <w:szCs w:val="24"/>
        </w:rPr>
        <w:t xml:space="preserve">Knowledge Sharing between Enterprises of the Same Group." </w:t>
      </w:r>
      <w:r>
        <w:rPr>
          <w:rFonts w:ascii="Times New Roman" w:hAnsi="Times New Roman" w:cs="Times New Roman"/>
          <w:i/>
          <w:iCs/>
          <w:sz w:val="24"/>
          <w:szCs w:val="24"/>
          <w:u w:val="single"/>
        </w:rPr>
        <w:t>International Journal of Knowledge Management</w:t>
      </w:r>
      <w:r>
        <w:rPr>
          <w:rFonts w:ascii="Times New Roman" w:hAnsi="Times New Roman" w:cs="Times New Roman"/>
          <w:i/>
          <w:iCs/>
          <w:sz w:val="24"/>
          <w:szCs w:val="24"/>
        </w:rPr>
        <w:t xml:space="preserve"> </w:t>
      </w:r>
      <w:r>
        <w:rPr>
          <w:rFonts w:ascii="Times New Roman" w:hAnsi="Times New Roman" w:cs="Times New Roman"/>
          <w:b/>
          <w:sz w:val="24"/>
          <w:szCs w:val="24"/>
        </w:rPr>
        <w:t>13</w:t>
      </w:r>
      <w:r>
        <w:rPr>
          <w:rFonts w:ascii="Times New Roman" w:hAnsi="Times New Roman" w:cs="Times New Roman"/>
          <w:sz w:val="24"/>
          <w:szCs w:val="24"/>
        </w:rPr>
        <w:t>(1): 34-52.</w:t>
      </w:r>
    </w:p>
    <w:p w14:paraId="523CA6ED"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 w:name="_ENREF_12"/>
      <w:bookmarkEnd w:id="2"/>
    </w:p>
    <w:p w14:paraId="7BDCA3FE"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Chen, M., et al. (2017). "</w:t>
      </w:r>
      <w:r>
        <w:rPr>
          <w:rFonts w:ascii="Times New Roman" w:hAnsi="Times New Roman" w:cs="Times New Roman"/>
          <w:i/>
          <w:iCs/>
          <w:sz w:val="24"/>
          <w:szCs w:val="24"/>
        </w:rPr>
        <w:t xml:space="preserve">Flying or dying? Organizational change, customer participation, and innovation ambidexterity in emerging economies." </w:t>
      </w:r>
      <w:r>
        <w:rPr>
          <w:rFonts w:ascii="Times New Roman" w:hAnsi="Times New Roman" w:cs="Times New Roman"/>
          <w:i/>
          <w:iCs/>
          <w:sz w:val="24"/>
          <w:szCs w:val="24"/>
          <w:u w:val="single"/>
        </w:rPr>
        <w:t>Asia Pacific Journal of Management</w:t>
      </w:r>
      <w:r>
        <w:rPr>
          <w:rFonts w:ascii="Times New Roman" w:hAnsi="Times New Roman" w:cs="Times New Roman"/>
          <w:i/>
          <w:iCs/>
          <w:sz w:val="24"/>
          <w:szCs w:val="24"/>
        </w:rPr>
        <w:t xml:space="preserve"> </w:t>
      </w:r>
      <w:r>
        <w:rPr>
          <w:rFonts w:ascii="Times New Roman" w:hAnsi="Times New Roman" w:cs="Times New Roman"/>
          <w:b/>
          <w:sz w:val="24"/>
          <w:szCs w:val="24"/>
        </w:rPr>
        <w:t>35</w:t>
      </w:r>
      <w:r>
        <w:rPr>
          <w:rFonts w:ascii="Times New Roman" w:hAnsi="Times New Roman" w:cs="Times New Roman"/>
          <w:sz w:val="24"/>
          <w:szCs w:val="24"/>
        </w:rPr>
        <w:t>(1): 97-119.</w:t>
      </w:r>
    </w:p>
    <w:p w14:paraId="5A8C3591"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4" w:name="_ENREF_13"/>
      <w:bookmarkEnd w:id="3"/>
    </w:p>
    <w:p w14:paraId="4FEFE3E6" w14:textId="77777777" w:rsidR="009C031F" w:rsidRDefault="009C031F" w:rsidP="009C031F">
      <w:pPr>
        <w:pStyle w:val="EndNoteBibliography"/>
        <w:spacing w:after="0"/>
        <w:ind w:left="1051" w:hanging="709"/>
        <w:jc w:val="both"/>
        <w:rPr>
          <w:rFonts w:ascii="Times New Roman" w:hAnsi="Times New Roman" w:cs="Times New Roman"/>
          <w:sz w:val="24"/>
          <w:szCs w:val="24"/>
          <w:u w:val="single"/>
        </w:rPr>
      </w:pPr>
      <w:r>
        <w:rPr>
          <w:rFonts w:ascii="Times New Roman" w:hAnsi="Times New Roman" w:cs="Times New Roman"/>
          <w:sz w:val="24"/>
          <w:szCs w:val="24"/>
        </w:rPr>
        <w:t>Chugh, W. C. L. H. (2014). "</w:t>
      </w:r>
      <w:r>
        <w:rPr>
          <w:rFonts w:ascii="Times New Roman" w:hAnsi="Times New Roman" w:cs="Times New Roman"/>
          <w:i/>
          <w:iCs/>
          <w:sz w:val="24"/>
          <w:szCs w:val="24"/>
        </w:rPr>
        <w:t xml:space="preserve">Entrepreneurial Learning: Past Research and Future Challenges." </w:t>
      </w:r>
      <w:r>
        <w:rPr>
          <w:rFonts w:ascii="Times New Roman" w:hAnsi="Times New Roman" w:cs="Times New Roman"/>
          <w:i/>
          <w:iCs/>
          <w:sz w:val="24"/>
          <w:szCs w:val="24"/>
          <w:u w:val="single"/>
        </w:rPr>
        <w:t>International Journal of Management Reviews,</w:t>
      </w:r>
      <w:r>
        <w:rPr>
          <w:rFonts w:ascii="Times New Roman" w:hAnsi="Times New Roman" w:cs="Times New Roman"/>
          <w:sz w:val="24"/>
          <w:szCs w:val="24"/>
          <w:u w:val="single"/>
        </w:rPr>
        <w:t xml:space="preserve"> DOI: 10.1111/ijmr.12007</w:t>
      </w:r>
      <w:r>
        <w:rPr>
          <w:rFonts w:ascii="Times New Roman" w:hAnsi="Times New Roman" w:cs="Times New Roman"/>
          <w:sz w:val="24"/>
          <w:szCs w:val="24"/>
        </w:rPr>
        <w:t xml:space="preserve"> </w:t>
      </w:r>
      <w:r>
        <w:rPr>
          <w:rFonts w:ascii="Times New Roman" w:hAnsi="Times New Roman" w:cs="Times New Roman"/>
          <w:b/>
          <w:sz w:val="24"/>
          <w:szCs w:val="24"/>
        </w:rPr>
        <w:t xml:space="preserve">Vol. 16, </w:t>
      </w:r>
      <w:r>
        <w:rPr>
          <w:rFonts w:ascii="Times New Roman" w:hAnsi="Times New Roman" w:cs="Times New Roman"/>
          <w:sz w:val="24"/>
          <w:szCs w:val="24"/>
        </w:rPr>
        <w:t>( ): 24-61.</w:t>
      </w:r>
    </w:p>
    <w:p w14:paraId="4106E1CB"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5" w:name="_ENREF_14"/>
      <w:bookmarkEnd w:id="4"/>
    </w:p>
    <w:p w14:paraId="40111086"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Cusumano, M. A., et al. (2015). "</w:t>
      </w:r>
      <w:r>
        <w:rPr>
          <w:rFonts w:ascii="Times New Roman" w:hAnsi="Times New Roman" w:cs="Times New Roman"/>
          <w:i/>
          <w:iCs/>
          <w:sz w:val="24"/>
          <w:szCs w:val="24"/>
        </w:rPr>
        <w:t xml:space="preserve">Services, industry evolution, and the competitive strategies of product firms." </w:t>
      </w:r>
      <w:r>
        <w:rPr>
          <w:rFonts w:ascii="Times New Roman" w:hAnsi="Times New Roman" w:cs="Times New Roman"/>
          <w:i/>
          <w:iCs/>
          <w:sz w:val="24"/>
          <w:szCs w:val="24"/>
          <w:u w:val="single"/>
        </w:rPr>
        <w:t>Strategic Management Journal</w:t>
      </w:r>
      <w:r>
        <w:rPr>
          <w:rFonts w:ascii="Times New Roman" w:hAnsi="Times New Roman" w:cs="Times New Roman"/>
          <w:sz w:val="24"/>
          <w:szCs w:val="24"/>
        </w:rPr>
        <w:t xml:space="preserve"> </w:t>
      </w:r>
      <w:r>
        <w:rPr>
          <w:rFonts w:ascii="Times New Roman" w:hAnsi="Times New Roman" w:cs="Times New Roman"/>
          <w:b/>
          <w:sz w:val="24"/>
          <w:szCs w:val="24"/>
        </w:rPr>
        <w:t>36</w:t>
      </w:r>
      <w:r>
        <w:rPr>
          <w:rFonts w:ascii="Times New Roman" w:hAnsi="Times New Roman" w:cs="Times New Roman"/>
          <w:sz w:val="24"/>
          <w:szCs w:val="24"/>
        </w:rPr>
        <w:t>(4): 559-575.</w:t>
      </w:r>
      <w:bookmarkStart w:id="6" w:name="_ENREF_15"/>
      <w:bookmarkEnd w:id="5"/>
    </w:p>
    <w:p w14:paraId="69B3AE1B" w14:textId="77777777" w:rsidR="009C031F" w:rsidRDefault="009C031F" w:rsidP="009C031F">
      <w:pPr>
        <w:pStyle w:val="EndNoteBibliography"/>
        <w:spacing w:after="0"/>
        <w:ind w:left="1051" w:hanging="709"/>
        <w:jc w:val="both"/>
        <w:rPr>
          <w:rFonts w:ascii="Times New Roman" w:hAnsi="Times New Roman" w:cs="Times New Roman"/>
          <w:sz w:val="24"/>
          <w:szCs w:val="24"/>
        </w:rPr>
      </w:pPr>
    </w:p>
    <w:p w14:paraId="2D2B4250" w14:textId="77777777" w:rsidR="009C031F" w:rsidRDefault="009C031F" w:rsidP="009C031F">
      <w:pPr>
        <w:adjustRightInd w:val="0"/>
        <w:ind w:left="1051" w:hanging="709"/>
        <w:jc w:val="both"/>
        <w:rPr>
          <w:rFonts w:ascii="Times New Roman" w:hAnsi="Times New Roman" w:cs="Times New Roman"/>
          <w:color w:val="000000"/>
          <w:sz w:val="24"/>
          <w:szCs w:val="24"/>
        </w:rPr>
      </w:pPr>
      <w:r>
        <w:rPr>
          <w:rFonts w:ascii="Times New Roman" w:hAnsi="Times New Roman"/>
          <w:color w:val="000000"/>
          <w:sz w:val="24"/>
          <w:szCs w:val="24"/>
        </w:rPr>
        <w:t>Davenport, T. H., &amp; Kirby, J. (2016). Only humans need apply: Winners and losers in the age of smart machines. New York: Harper Business. </w:t>
      </w:r>
    </w:p>
    <w:p w14:paraId="6F9BBE3E" w14:textId="77777777" w:rsidR="009C031F" w:rsidRDefault="009C031F" w:rsidP="009C031F">
      <w:pPr>
        <w:pStyle w:val="EndNoteBibliography"/>
        <w:spacing w:after="0"/>
        <w:ind w:left="1051" w:hanging="709"/>
        <w:jc w:val="both"/>
        <w:rPr>
          <w:rFonts w:ascii="Times New Roman" w:hAnsi="Times New Roman" w:cs="Times New Roman"/>
          <w:sz w:val="24"/>
          <w:szCs w:val="24"/>
        </w:rPr>
      </w:pPr>
    </w:p>
    <w:p w14:paraId="44DE3FCB"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Della Corte, V. and M. Aria (2016). "</w:t>
      </w:r>
      <w:r>
        <w:rPr>
          <w:rFonts w:ascii="Times New Roman" w:hAnsi="Times New Roman" w:cs="Times New Roman"/>
          <w:i/>
          <w:iCs/>
          <w:sz w:val="24"/>
          <w:szCs w:val="24"/>
        </w:rPr>
        <w:t xml:space="preserve">Coopetition and sustainable competitive advantage. The case of tourist destinations." </w:t>
      </w:r>
      <w:r>
        <w:rPr>
          <w:rFonts w:ascii="Times New Roman" w:hAnsi="Times New Roman" w:cs="Times New Roman"/>
          <w:i/>
          <w:iCs/>
          <w:sz w:val="24"/>
          <w:szCs w:val="24"/>
          <w:u w:val="single"/>
        </w:rPr>
        <w:t>Tourism Management</w:t>
      </w:r>
      <w:r>
        <w:rPr>
          <w:rFonts w:ascii="Times New Roman" w:hAnsi="Times New Roman" w:cs="Times New Roman"/>
          <w:i/>
          <w:iCs/>
          <w:sz w:val="24"/>
          <w:szCs w:val="24"/>
        </w:rPr>
        <w:t xml:space="preserve"> </w:t>
      </w:r>
      <w:r>
        <w:rPr>
          <w:rFonts w:ascii="Times New Roman" w:hAnsi="Times New Roman" w:cs="Times New Roman"/>
          <w:b/>
          <w:sz w:val="24"/>
          <w:szCs w:val="24"/>
        </w:rPr>
        <w:t>54</w:t>
      </w:r>
      <w:r>
        <w:rPr>
          <w:rFonts w:ascii="Times New Roman" w:hAnsi="Times New Roman" w:cs="Times New Roman"/>
          <w:sz w:val="24"/>
          <w:szCs w:val="24"/>
        </w:rPr>
        <w:t>: 524-540.</w:t>
      </w:r>
    </w:p>
    <w:bookmarkEnd w:id="6"/>
    <w:p w14:paraId="1D421E8C" w14:textId="77777777" w:rsidR="009C031F" w:rsidRDefault="009C031F" w:rsidP="009C031F">
      <w:pPr>
        <w:ind w:left="1051" w:hanging="709"/>
        <w:jc w:val="both"/>
        <w:rPr>
          <w:rFonts w:ascii="Times New Roman" w:eastAsia="Times New Roman" w:hAnsi="Times New Roman" w:cs="Times New Roman"/>
          <w:sz w:val="24"/>
          <w:szCs w:val="24"/>
        </w:rPr>
      </w:pPr>
    </w:p>
    <w:p w14:paraId="0C9AA57F" w14:textId="77777777" w:rsidR="009C031F" w:rsidRDefault="009C031F" w:rsidP="009C031F">
      <w:pPr>
        <w:ind w:left="1051" w:hanging="709"/>
        <w:jc w:val="both"/>
        <w:rPr>
          <w:rFonts w:ascii="Times New Roman" w:eastAsia="Times New Roman" w:hAnsi="Times New Roman"/>
          <w:sz w:val="24"/>
          <w:szCs w:val="24"/>
        </w:rPr>
      </w:pPr>
      <w:r>
        <w:rPr>
          <w:rFonts w:ascii="Times New Roman" w:eastAsia="Times New Roman" w:hAnsi="Times New Roman"/>
          <w:sz w:val="24"/>
          <w:szCs w:val="24"/>
        </w:rPr>
        <w:t>Deng, Xuefei Nancy, Robert D. Galliers, and K. D. Joshi. "Crowdworking-a new digital divide? is design and research implications." (2016).</w:t>
      </w:r>
    </w:p>
    <w:p w14:paraId="23CBBB4D" w14:textId="77777777" w:rsidR="009C031F" w:rsidRDefault="009C031F" w:rsidP="009C031F">
      <w:pPr>
        <w:ind w:left="1051" w:hanging="709"/>
        <w:jc w:val="both"/>
        <w:rPr>
          <w:rFonts w:ascii="Times New Roman" w:eastAsia="Calibri" w:hAnsi="Times New Roman"/>
          <w:sz w:val="24"/>
          <w:szCs w:val="24"/>
        </w:rPr>
      </w:pPr>
    </w:p>
    <w:p w14:paraId="59DD3B5C" w14:textId="77777777" w:rsidR="009C031F" w:rsidRDefault="009C031F" w:rsidP="009C031F">
      <w:pPr>
        <w:pStyle w:val="EndNoteBibliography"/>
        <w:spacing w:after="0"/>
        <w:ind w:left="1051" w:hanging="709"/>
        <w:jc w:val="both"/>
        <w:rPr>
          <w:rFonts w:ascii="Times New Roman" w:hAnsi="Times New Roman" w:cs="Times New Roman"/>
          <w:sz w:val="24"/>
          <w:szCs w:val="24"/>
        </w:rPr>
      </w:pPr>
    </w:p>
    <w:p w14:paraId="173B0FB7"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7" w:name="_ENREF_19"/>
      <w:r>
        <w:rPr>
          <w:rFonts w:ascii="Times New Roman" w:hAnsi="Times New Roman" w:cs="Times New Roman"/>
          <w:sz w:val="24"/>
          <w:szCs w:val="24"/>
        </w:rPr>
        <w:t xml:space="preserve">Emerson, R., M. (2008). "Social Exchange Theory. ." </w:t>
      </w:r>
      <w:r>
        <w:rPr>
          <w:rFonts w:ascii="Times New Roman" w:hAnsi="Times New Roman" w:cs="Times New Roman"/>
          <w:sz w:val="24"/>
          <w:szCs w:val="24"/>
          <w:u w:val="single"/>
        </w:rPr>
        <w:t>Annual Review of Sociology,</w:t>
      </w:r>
      <w:r>
        <w:rPr>
          <w:rFonts w:ascii="Times New Roman" w:hAnsi="Times New Roman" w:cs="Times New Roman"/>
          <w:sz w:val="24"/>
          <w:szCs w:val="24"/>
        </w:rPr>
        <w:t xml:space="preserve"> </w:t>
      </w:r>
      <w:r>
        <w:rPr>
          <w:rFonts w:ascii="Times New Roman" w:hAnsi="Times New Roman" w:cs="Times New Roman"/>
          <w:b/>
          <w:sz w:val="24"/>
          <w:szCs w:val="24"/>
        </w:rPr>
        <w:t>2</w:t>
      </w:r>
      <w:r>
        <w:rPr>
          <w:rFonts w:ascii="Times New Roman" w:hAnsi="Times New Roman" w:cs="Times New Roman"/>
          <w:sz w:val="24"/>
          <w:szCs w:val="24"/>
        </w:rPr>
        <w:t>((1976), 335-362. ttps://doi.org/310.1177/0149206305279602.</w:t>
      </w:r>
    </w:p>
    <w:p w14:paraId="4FD6AA68"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8" w:name="_ENREF_20"/>
      <w:bookmarkEnd w:id="7"/>
    </w:p>
    <w:p w14:paraId="79544A32"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Ernest, K., et al. (2015). "</w:t>
      </w:r>
      <w:r>
        <w:rPr>
          <w:rFonts w:ascii="Times New Roman" w:hAnsi="Times New Roman" w:cs="Times New Roman"/>
          <w:i/>
          <w:iCs/>
          <w:sz w:val="24"/>
          <w:szCs w:val="24"/>
        </w:rPr>
        <w:t xml:space="preserve">Towards Entrepreneurial Learning Competencies: The Perspective of Built Environment Students." </w:t>
      </w:r>
      <w:r>
        <w:rPr>
          <w:rFonts w:ascii="Times New Roman" w:hAnsi="Times New Roman" w:cs="Times New Roman"/>
          <w:i/>
          <w:iCs/>
          <w:sz w:val="24"/>
          <w:szCs w:val="24"/>
          <w:u w:val="single"/>
        </w:rPr>
        <w:t>Higher Education Studies</w:t>
      </w:r>
      <w:r>
        <w:rPr>
          <w:rFonts w:ascii="Times New Roman" w:hAnsi="Times New Roman" w:cs="Times New Roman"/>
          <w:i/>
          <w:iCs/>
          <w:sz w:val="24"/>
          <w:szCs w:val="24"/>
        </w:rPr>
        <w:t xml:space="preserve"> </w:t>
      </w:r>
      <w:r>
        <w:rPr>
          <w:rFonts w:ascii="Times New Roman" w:hAnsi="Times New Roman" w:cs="Times New Roman"/>
          <w:b/>
          <w:sz w:val="24"/>
          <w:szCs w:val="24"/>
        </w:rPr>
        <w:t>5</w:t>
      </w:r>
      <w:r>
        <w:rPr>
          <w:rFonts w:ascii="Times New Roman" w:hAnsi="Times New Roman" w:cs="Times New Roman"/>
          <w:sz w:val="24"/>
          <w:szCs w:val="24"/>
        </w:rPr>
        <w:t>(1).</w:t>
      </w:r>
    </w:p>
    <w:p w14:paraId="31AF4804"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9" w:name="_ENREF_21"/>
      <w:bookmarkEnd w:id="8"/>
    </w:p>
    <w:p w14:paraId="2C6A9201"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Estrada, I., et al. (2016). "</w:t>
      </w:r>
      <w:r>
        <w:rPr>
          <w:rFonts w:ascii="Times New Roman" w:hAnsi="Times New Roman" w:cs="Times New Roman"/>
          <w:i/>
          <w:iCs/>
          <w:sz w:val="24"/>
          <w:szCs w:val="24"/>
        </w:rPr>
        <w:t xml:space="preserve">Coopetition and product innovation performance: The role of internal knowledge sharing mechanisms and formal knowledge protection mechanisms." </w:t>
      </w:r>
      <w:r>
        <w:rPr>
          <w:rFonts w:ascii="Times New Roman" w:hAnsi="Times New Roman" w:cs="Times New Roman"/>
          <w:i/>
          <w:iCs/>
          <w:sz w:val="24"/>
          <w:szCs w:val="24"/>
          <w:u w:val="single"/>
        </w:rPr>
        <w:t>Industrial Marketing Management</w:t>
      </w:r>
      <w:r>
        <w:rPr>
          <w:rFonts w:ascii="Times New Roman" w:hAnsi="Times New Roman" w:cs="Times New Roman"/>
          <w:sz w:val="24"/>
          <w:szCs w:val="24"/>
        </w:rPr>
        <w:t xml:space="preserve"> </w:t>
      </w:r>
      <w:r>
        <w:rPr>
          <w:rFonts w:ascii="Times New Roman" w:hAnsi="Times New Roman" w:cs="Times New Roman"/>
          <w:b/>
          <w:sz w:val="24"/>
          <w:szCs w:val="24"/>
        </w:rPr>
        <w:t>53</w:t>
      </w:r>
      <w:r>
        <w:rPr>
          <w:rFonts w:ascii="Times New Roman" w:hAnsi="Times New Roman" w:cs="Times New Roman"/>
          <w:sz w:val="24"/>
          <w:szCs w:val="24"/>
        </w:rPr>
        <w:t>: 56-65.</w:t>
      </w:r>
    </w:p>
    <w:p w14:paraId="0F6FEDF5"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10" w:name="_ENREF_22"/>
      <w:bookmarkEnd w:id="9"/>
    </w:p>
    <w:p w14:paraId="54088F51"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Fernández-Mesa, A. and J. Alegre (2015). "</w:t>
      </w:r>
      <w:r>
        <w:rPr>
          <w:rFonts w:ascii="Times New Roman" w:hAnsi="Times New Roman" w:cs="Times New Roman"/>
          <w:i/>
          <w:iCs/>
          <w:sz w:val="24"/>
          <w:szCs w:val="24"/>
        </w:rPr>
        <w:t xml:space="preserve">Entrepreneurial orientation and export intensity: Examining the interplay of organizational learning and innovation." </w:t>
      </w:r>
      <w:r>
        <w:rPr>
          <w:rFonts w:ascii="Times New Roman" w:hAnsi="Times New Roman" w:cs="Times New Roman"/>
          <w:i/>
          <w:iCs/>
          <w:sz w:val="24"/>
          <w:szCs w:val="24"/>
          <w:u w:val="single"/>
        </w:rPr>
        <w:t>International Business Review</w:t>
      </w:r>
      <w:r>
        <w:rPr>
          <w:rFonts w:ascii="Times New Roman" w:hAnsi="Times New Roman" w:cs="Times New Roman"/>
          <w:sz w:val="24"/>
          <w:szCs w:val="24"/>
        </w:rPr>
        <w:t xml:space="preserve"> </w:t>
      </w:r>
      <w:r>
        <w:rPr>
          <w:rFonts w:ascii="Times New Roman" w:hAnsi="Times New Roman" w:cs="Times New Roman"/>
          <w:b/>
          <w:sz w:val="24"/>
          <w:szCs w:val="24"/>
        </w:rPr>
        <w:t>24</w:t>
      </w:r>
      <w:r>
        <w:rPr>
          <w:rFonts w:ascii="Times New Roman" w:hAnsi="Times New Roman" w:cs="Times New Roman"/>
          <w:sz w:val="24"/>
          <w:szCs w:val="24"/>
        </w:rPr>
        <w:t>(1): 148-156.</w:t>
      </w:r>
    </w:p>
    <w:p w14:paraId="676F02EB" w14:textId="77777777" w:rsidR="009C031F" w:rsidRDefault="009C031F" w:rsidP="009C031F">
      <w:pPr>
        <w:pStyle w:val="EndNoteBibliography"/>
        <w:spacing w:after="0"/>
        <w:ind w:left="1051" w:hanging="709"/>
        <w:jc w:val="both"/>
        <w:rPr>
          <w:rFonts w:ascii="Times New Roman" w:hAnsi="Times New Roman" w:cs="Times New Roman"/>
          <w:sz w:val="24"/>
          <w:szCs w:val="24"/>
        </w:rPr>
      </w:pPr>
    </w:p>
    <w:p w14:paraId="28CFF22D"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11" w:name="_ENREF_23"/>
      <w:bookmarkEnd w:id="10"/>
      <w:r>
        <w:rPr>
          <w:rFonts w:ascii="Times New Roman" w:hAnsi="Times New Roman" w:cs="Times New Roman"/>
          <w:sz w:val="24"/>
          <w:szCs w:val="24"/>
        </w:rPr>
        <w:lastRenderedPageBreak/>
        <w:t>Fillion, G., et al. (2015). "</w:t>
      </w:r>
      <w:r>
        <w:rPr>
          <w:rFonts w:ascii="Times New Roman" w:hAnsi="Times New Roman" w:cs="Times New Roman"/>
          <w:i/>
          <w:iCs/>
          <w:sz w:val="24"/>
          <w:szCs w:val="24"/>
        </w:rPr>
        <w:t xml:space="preserve">Peter Senge's learning organization: a critical view and the addition of some new concepts to actualize theory and practice." </w:t>
      </w:r>
      <w:r>
        <w:rPr>
          <w:rFonts w:ascii="Times New Roman" w:hAnsi="Times New Roman" w:cs="Times New Roman"/>
          <w:i/>
          <w:iCs/>
          <w:sz w:val="24"/>
          <w:szCs w:val="24"/>
          <w:u w:val="single"/>
        </w:rPr>
        <w:t>Journal of Organizational Culture, Communications and Conflict</w:t>
      </w:r>
      <w:r>
        <w:rPr>
          <w:rFonts w:ascii="Times New Roman" w:hAnsi="Times New Roman" w:cs="Times New Roman"/>
          <w:i/>
          <w:iCs/>
          <w:sz w:val="24"/>
          <w:szCs w:val="24"/>
        </w:rPr>
        <w:t xml:space="preserve"> </w:t>
      </w:r>
      <w:r>
        <w:rPr>
          <w:rFonts w:ascii="Times New Roman" w:hAnsi="Times New Roman" w:cs="Times New Roman"/>
          <w:b/>
          <w:sz w:val="24"/>
          <w:szCs w:val="24"/>
        </w:rPr>
        <w:t>19</w:t>
      </w:r>
      <w:r>
        <w:rPr>
          <w:rFonts w:ascii="Times New Roman" w:hAnsi="Times New Roman" w:cs="Times New Roman"/>
          <w:sz w:val="24"/>
          <w:szCs w:val="24"/>
        </w:rPr>
        <w:t>(3): 73.</w:t>
      </w:r>
      <w:bookmarkStart w:id="12" w:name="_ENREF_25"/>
      <w:bookmarkEnd w:id="11"/>
    </w:p>
    <w:p w14:paraId="4C8A650A" w14:textId="77777777" w:rsidR="009C031F" w:rsidRDefault="009C031F" w:rsidP="009C031F">
      <w:pPr>
        <w:pStyle w:val="EndNoteBibliography"/>
        <w:spacing w:after="0"/>
        <w:ind w:left="1051" w:hanging="709"/>
        <w:jc w:val="both"/>
        <w:rPr>
          <w:rFonts w:ascii="Times New Roman" w:hAnsi="Times New Roman" w:cs="Times New Roman"/>
          <w:sz w:val="24"/>
          <w:szCs w:val="24"/>
        </w:rPr>
      </w:pPr>
    </w:p>
    <w:p w14:paraId="74530F6A"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13" w:name="_ENREF_26"/>
      <w:bookmarkEnd w:id="12"/>
      <w:r>
        <w:rPr>
          <w:rFonts w:ascii="Times New Roman" w:hAnsi="Times New Roman" w:cs="Times New Roman"/>
          <w:sz w:val="24"/>
          <w:szCs w:val="24"/>
        </w:rPr>
        <w:t>García-Holgado, A., García-Peñalvo, F. J., Hernández-García, Á., &amp; Llorens-Largo, F. (2015). "</w:t>
      </w:r>
      <w:r>
        <w:rPr>
          <w:rFonts w:ascii="Times New Roman" w:hAnsi="Times New Roman" w:cs="Times New Roman"/>
          <w:i/>
          <w:iCs/>
          <w:sz w:val="24"/>
          <w:szCs w:val="24"/>
        </w:rPr>
        <w:t xml:space="preserve">Analysis and improvement of knowledge management processes in organizations using the Business Process Model Notation. New Information and Communication Technologies for Knowledge Management in Organizations: ." </w:t>
      </w:r>
      <w:r>
        <w:rPr>
          <w:rFonts w:ascii="Times New Roman" w:hAnsi="Times New Roman" w:cs="Times New Roman"/>
          <w:i/>
          <w:iCs/>
          <w:sz w:val="24"/>
          <w:szCs w:val="24"/>
          <w:u w:val="single"/>
        </w:rPr>
        <w:t>5th Global Innovation and Knowledge Academy Conference</w:t>
      </w:r>
      <w:r>
        <w:rPr>
          <w:rFonts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hAnsi="Times New Roman" w:cs="Times New Roman"/>
          <w:b/>
          <w:sz w:val="24"/>
          <w:szCs w:val="24"/>
        </w:rPr>
        <w:t xml:space="preserve">9. </w:t>
      </w:r>
      <w:r>
        <w:rPr>
          <w:rFonts w:ascii="Times New Roman" w:hAnsi="Times New Roman" w:cs="Times New Roman"/>
          <w:sz w:val="24"/>
          <w:szCs w:val="24"/>
        </w:rPr>
        <w:t>(GIKA 2015, ): page 2.</w:t>
      </w:r>
    </w:p>
    <w:p w14:paraId="31834D18" w14:textId="77777777" w:rsidR="009C031F" w:rsidRDefault="009C031F" w:rsidP="009C031F">
      <w:pPr>
        <w:ind w:left="1051" w:hanging="709"/>
        <w:jc w:val="both"/>
        <w:rPr>
          <w:rFonts w:ascii="Times New Roman" w:hAnsi="Times New Roman" w:cs="Times New Roman"/>
          <w:sz w:val="24"/>
          <w:szCs w:val="24"/>
        </w:rPr>
      </w:pPr>
      <w:bookmarkStart w:id="14" w:name="_ENREF_29"/>
      <w:bookmarkEnd w:id="13"/>
      <w:r>
        <w:rPr>
          <w:rFonts w:ascii="Times New Roman" w:hAnsi="Times New Roman"/>
          <w:sz w:val="24"/>
          <w:szCs w:val="24"/>
        </w:rPr>
        <w:t xml:space="preserve"> </w:t>
      </w:r>
      <w:bookmarkStart w:id="15" w:name="_ENREF_30"/>
      <w:bookmarkEnd w:id="14"/>
    </w:p>
    <w:p w14:paraId="153167AA" w14:textId="77777777" w:rsidR="009C031F" w:rsidRDefault="009C031F" w:rsidP="009C031F">
      <w:pPr>
        <w:ind w:left="1051" w:hanging="709"/>
        <w:jc w:val="both"/>
        <w:rPr>
          <w:rFonts w:ascii="Times New Roman" w:eastAsia="Times New Roman" w:hAnsi="Times New Roman"/>
          <w:sz w:val="24"/>
          <w:szCs w:val="24"/>
        </w:rPr>
      </w:pPr>
      <w:r>
        <w:rPr>
          <w:rFonts w:ascii="Times New Roman" w:hAnsi="Times New Roman"/>
          <w:i/>
          <w:iCs/>
          <w:sz w:val="24"/>
          <w:szCs w:val="24"/>
        </w:rPr>
        <w:t xml:space="preserve"> </w:t>
      </w:r>
      <w:bookmarkStart w:id="16" w:name="_ENREF_31"/>
      <w:bookmarkEnd w:id="15"/>
      <w:r>
        <w:rPr>
          <w:rFonts w:ascii="Times New Roman" w:eastAsia="Times New Roman" w:hAnsi="Times New Roman"/>
          <w:sz w:val="24"/>
          <w:szCs w:val="24"/>
        </w:rPr>
        <w:t xml:space="preserve">Gol, Elham Shafiei, Mari-Klara Stein, and Michel Avital. (2018)"Why Take the Risk?: Motivations of Highly Skilled Workers to Participate in Crowdworking Platforms." </w:t>
      </w:r>
      <w:r>
        <w:rPr>
          <w:rFonts w:ascii="Times New Roman" w:eastAsia="Times New Roman" w:hAnsi="Times New Roman"/>
          <w:i/>
          <w:iCs/>
          <w:sz w:val="24"/>
          <w:szCs w:val="24"/>
        </w:rPr>
        <w:t>Proceedings of the 39th International Conference on Information Systems (ICIS)</w:t>
      </w:r>
      <w:r>
        <w:rPr>
          <w:rFonts w:ascii="Times New Roman" w:eastAsia="Times New Roman" w:hAnsi="Times New Roman"/>
          <w:sz w:val="24"/>
          <w:szCs w:val="24"/>
        </w:rPr>
        <w:t xml:space="preserve">. Association for Information Systems. AIS Electronic Library (AISeL), </w:t>
      </w:r>
    </w:p>
    <w:p w14:paraId="2362A559" w14:textId="77777777" w:rsidR="009C031F" w:rsidRDefault="009C031F" w:rsidP="009C031F">
      <w:pPr>
        <w:ind w:left="1051" w:hanging="709"/>
        <w:jc w:val="both"/>
        <w:rPr>
          <w:rFonts w:ascii="Times New Roman" w:eastAsia="Calibri" w:hAnsi="Times New Roman"/>
          <w:sz w:val="24"/>
          <w:szCs w:val="24"/>
        </w:rPr>
      </w:pPr>
    </w:p>
    <w:p w14:paraId="1A6E10D7" w14:textId="77777777" w:rsidR="009C031F" w:rsidRDefault="009C031F" w:rsidP="009C031F">
      <w:pPr>
        <w:ind w:left="1051" w:hanging="709"/>
        <w:jc w:val="both"/>
        <w:rPr>
          <w:rFonts w:ascii="Times New Roman" w:eastAsia="Times New Roman" w:hAnsi="Times New Roman"/>
          <w:sz w:val="24"/>
          <w:szCs w:val="24"/>
        </w:rPr>
      </w:pPr>
      <w:r>
        <w:rPr>
          <w:rFonts w:ascii="Times New Roman" w:eastAsia="Times New Roman" w:hAnsi="Times New Roman"/>
          <w:sz w:val="24"/>
          <w:szCs w:val="24"/>
        </w:rPr>
        <w:t xml:space="preserve">Görzen, Thomas. "Can Experience be Trusted? Investigating the Effect of Experience on Decision Biases in Crowdworking Platforms." </w:t>
      </w:r>
      <w:r>
        <w:rPr>
          <w:rFonts w:ascii="Times New Roman" w:eastAsia="Times New Roman" w:hAnsi="Times New Roman"/>
          <w:i/>
          <w:iCs/>
          <w:sz w:val="24"/>
          <w:szCs w:val="24"/>
        </w:rPr>
        <w:t>Proceedings of the 52nd Hawaii International Conference on System Sciences</w:t>
      </w:r>
      <w:r>
        <w:rPr>
          <w:rFonts w:ascii="Times New Roman" w:eastAsia="Times New Roman" w:hAnsi="Times New Roman"/>
          <w:sz w:val="24"/>
          <w:szCs w:val="24"/>
        </w:rPr>
        <w:t>. 2019.</w:t>
      </w:r>
    </w:p>
    <w:p w14:paraId="0B88C2DA" w14:textId="77777777" w:rsidR="009C031F" w:rsidRDefault="009C031F" w:rsidP="009C031F">
      <w:pPr>
        <w:pStyle w:val="EndNoteBibliography"/>
        <w:spacing w:after="0"/>
        <w:ind w:left="1051" w:hanging="709"/>
        <w:jc w:val="both"/>
        <w:rPr>
          <w:rFonts w:ascii="Times New Roman" w:eastAsia="Calibri" w:hAnsi="Times New Roman" w:cs="Times New Roman"/>
          <w:i/>
          <w:iCs/>
          <w:sz w:val="24"/>
          <w:szCs w:val="24"/>
        </w:rPr>
      </w:pPr>
    </w:p>
    <w:p w14:paraId="18A7E842" w14:textId="77777777" w:rsidR="009C031F" w:rsidRDefault="009C031F" w:rsidP="009C031F">
      <w:pPr>
        <w:adjustRightInd w:val="0"/>
        <w:ind w:left="1051" w:hanging="709"/>
        <w:jc w:val="both"/>
        <w:rPr>
          <w:rFonts w:ascii="Times New Roman" w:hAnsi="Times New Roman" w:cs="Times New Roman"/>
          <w:color w:val="000000"/>
          <w:sz w:val="24"/>
          <w:szCs w:val="24"/>
        </w:rPr>
      </w:pPr>
      <w:r>
        <w:rPr>
          <w:rFonts w:ascii="Times New Roman" w:hAnsi="Times New Roman"/>
          <w:color w:val="000000"/>
          <w:sz w:val="24"/>
          <w:szCs w:val="24"/>
        </w:rPr>
        <w:t>Iansiti, M., &amp; Lakhani, K. R. (2014). Digital ubiquity: How connections, sensors, and data are revolutionizing business. Harvard Business Review, 92(11), 90–99. Intel. (2014). The future of knowledge work. White paper workplace transformation. </w:t>
      </w:r>
    </w:p>
    <w:p w14:paraId="7C85F541" w14:textId="77777777" w:rsidR="009C031F" w:rsidRDefault="009C031F" w:rsidP="009C031F">
      <w:pPr>
        <w:adjustRightInd w:val="0"/>
        <w:ind w:left="1051" w:hanging="709"/>
        <w:jc w:val="both"/>
        <w:rPr>
          <w:rFonts w:ascii="Times New Roman" w:hAnsi="Times New Roman"/>
          <w:color w:val="000000"/>
          <w:sz w:val="24"/>
          <w:szCs w:val="24"/>
        </w:rPr>
      </w:pPr>
    </w:p>
    <w:p w14:paraId="3A1EB12E"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color w:val="000000"/>
          <w:sz w:val="24"/>
          <w:szCs w:val="24"/>
        </w:rPr>
        <w:t>Jarrahi, M. H., &amp; Sawyer, S. (2013). Social technologies, informal knowledge practices, and the enterprise. Journal of Organizational Computing and Electronic Commerce, 23(1–2), 110–137. </w:t>
      </w:r>
    </w:p>
    <w:p w14:paraId="46800136" w14:textId="77777777" w:rsidR="009C031F" w:rsidRDefault="009C031F" w:rsidP="009C031F">
      <w:pPr>
        <w:adjustRightInd w:val="0"/>
        <w:ind w:left="1051" w:hanging="709"/>
        <w:jc w:val="both"/>
        <w:rPr>
          <w:rFonts w:ascii="Times New Roman" w:hAnsi="Times New Roman"/>
          <w:color w:val="000000"/>
          <w:sz w:val="24"/>
          <w:szCs w:val="24"/>
        </w:rPr>
      </w:pPr>
    </w:p>
    <w:p w14:paraId="37BB43BE"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color w:val="000000"/>
          <w:sz w:val="24"/>
          <w:szCs w:val="24"/>
        </w:rPr>
        <w:t>Kaplan, A. M., &amp; Haenlein, M. (2010). Users of the world, unite! The challenges and opportunities of Social Media. Business Horizons, 53(1), 59–68. </w:t>
      </w:r>
    </w:p>
    <w:p w14:paraId="2622A2AC" w14:textId="77777777" w:rsidR="009C031F" w:rsidRDefault="009C031F" w:rsidP="009C031F">
      <w:pPr>
        <w:adjustRightInd w:val="0"/>
        <w:ind w:left="1051" w:hanging="709"/>
        <w:jc w:val="both"/>
        <w:rPr>
          <w:rFonts w:ascii="Times New Roman" w:hAnsi="Times New Roman"/>
          <w:color w:val="000000"/>
          <w:sz w:val="24"/>
          <w:szCs w:val="24"/>
        </w:rPr>
      </w:pPr>
    </w:p>
    <w:p w14:paraId="19C76160"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color w:val="000000"/>
          <w:sz w:val="24"/>
          <w:szCs w:val="24"/>
        </w:rPr>
        <w:t xml:space="preserve">Karimi, J., &amp; Walter, Z. (2015). The role of dynamic capabilities in responding to digital disruption: A factor-based study of the newspaper industry. Journal of Management Information Systems, 32(1), 39–81. </w:t>
      </w:r>
    </w:p>
    <w:p w14:paraId="10EF5EE5"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17" w:name="_ENREF_32"/>
      <w:bookmarkEnd w:id="16"/>
    </w:p>
    <w:p w14:paraId="4A182173"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Kamya, M. T., et al. (2011). "</w:t>
      </w:r>
      <w:r>
        <w:rPr>
          <w:rFonts w:ascii="Times New Roman" w:hAnsi="Times New Roman" w:cs="Times New Roman"/>
          <w:i/>
          <w:iCs/>
          <w:sz w:val="24"/>
          <w:szCs w:val="24"/>
        </w:rPr>
        <w:t xml:space="preserve">Organisational learning and competitive advantage: testing for the interacting influence of knowledge management and innovation." </w:t>
      </w:r>
      <w:r>
        <w:rPr>
          <w:rFonts w:ascii="Times New Roman" w:hAnsi="Times New Roman" w:cs="Times New Roman"/>
          <w:i/>
          <w:iCs/>
          <w:sz w:val="24"/>
          <w:szCs w:val="24"/>
          <w:u w:val="single"/>
        </w:rPr>
        <w:t>Int. J. Innovation and Learning</w:t>
      </w:r>
      <w:r>
        <w:rPr>
          <w:rFonts w:ascii="Times New Roman" w:hAnsi="Times New Roman" w:cs="Times New Roman"/>
          <w:sz w:val="24"/>
          <w:szCs w:val="24"/>
          <w:u w:val="single"/>
        </w:rPr>
        <w:t>,</w:t>
      </w:r>
      <w:r>
        <w:rPr>
          <w:rFonts w:ascii="Times New Roman" w:hAnsi="Times New Roman" w:cs="Times New Roman"/>
          <w:sz w:val="24"/>
          <w:szCs w:val="24"/>
        </w:rPr>
        <w:t xml:space="preserve"> </w:t>
      </w:r>
      <w:r>
        <w:rPr>
          <w:rFonts w:ascii="Times New Roman" w:hAnsi="Times New Roman" w:cs="Times New Roman"/>
          <w:b/>
          <w:sz w:val="24"/>
          <w:szCs w:val="24"/>
        </w:rPr>
        <w:t>Vol. 10, No. 4</w:t>
      </w:r>
      <w:r>
        <w:rPr>
          <w:rFonts w:ascii="Times New Roman" w:hAnsi="Times New Roman" w:cs="Times New Roman"/>
          <w:sz w:val="24"/>
          <w:szCs w:val="24"/>
        </w:rPr>
        <w:t>.</w:t>
      </w:r>
    </w:p>
    <w:p w14:paraId="1AC823B4" w14:textId="77777777" w:rsidR="009C031F" w:rsidRDefault="009C031F" w:rsidP="009C031F">
      <w:pPr>
        <w:ind w:left="1051" w:hanging="709"/>
        <w:jc w:val="both"/>
        <w:rPr>
          <w:rFonts w:ascii="Times New Roman" w:eastAsia="Times New Roman" w:hAnsi="Times New Roman" w:cs="Times New Roman"/>
          <w:sz w:val="24"/>
          <w:szCs w:val="24"/>
        </w:rPr>
      </w:pPr>
      <w:bookmarkStart w:id="18" w:name="_ENREF_33"/>
      <w:bookmarkEnd w:id="17"/>
    </w:p>
    <w:p w14:paraId="0B0E6B96" w14:textId="77777777" w:rsidR="009C031F" w:rsidRDefault="009C031F" w:rsidP="009C031F">
      <w:pPr>
        <w:ind w:left="1051" w:hanging="709"/>
        <w:jc w:val="both"/>
        <w:rPr>
          <w:rFonts w:ascii="Times New Roman" w:eastAsia="Times New Roman" w:hAnsi="Times New Roman"/>
          <w:sz w:val="24"/>
          <w:szCs w:val="24"/>
        </w:rPr>
      </w:pPr>
      <w:r>
        <w:rPr>
          <w:rFonts w:ascii="Times New Roman" w:eastAsia="Times New Roman" w:hAnsi="Times New Roman"/>
          <w:sz w:val="24"/>
          <w:szCs w:val="24"/>
        </w:rPr>
        <w:t xml:space="preserve">Kéfi, S., Thébault, E., Eklöf, A., Lurgi, M., Davis, A. J., Kondoh, M., &amp; Krumins, J. A. (2017). Toward multiplex ecological networks: Accounting for multiple interaction types to understand community structure and dynamics. In </w:t>
      </w:r>
      <w:r>
        <w:rPr>
          <w:rFonts w:ascii="Times New Roman" w:eastAsia="Times New Roman" w:hAnsi="Times New Roman"/>
          <w:i/>
          <w:iCs/>
          <w:sz w:val="24"/>
          <w:szCs w:val="24"/>
        </w:rPr>
        <w:t>Adaptive Food Webs: Stability and Transitions of Real and Model Ecosystems</w:t>
      </w:r>
      <w:r>
        <w:rPr>
          <w:rFonts w:ascii="Times New Roman" w:eastAsia="Times New Roman" w:hAnsi="Times New Roman"/>
          <w:sz w:val="24"/>
          <w:szCs w:val="24"/>
        </w:rPr>
        <w:t xml:space="preserve"> (pp. 73-87). Cambridge University Press.</w:t>
      </w:r>
    </w:p>
    <w:p w14:paraId="43422000" w14:textId="77777777" w:rsidR="009C031F" w:rsidRDefault="009C031F" w:rsidP="009C031F">
      <w:pPr>
        <w:pStyle w:val="EndNoteBibliography"/>
        <w:spacing w:after="0"/>
        <w:ind w:left="1051" w:hanging="709"/>
        <w:jc w:val="both"/>
        <w:rPr>
          <w:rFonts w:ascii="Times New Roman" w:eastAsia="Calibri" w:hAnsi="Times New Roman" w:cs="Times New Roman"/>
          <w:sz w:val="24"/>
          <w:szCs w:val="24"/>
        </w:rPr>
      </w:pPr>
    </w:p>
    <w:p w14:paraId="5AD276EA"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Kim, J., et al. (2015). "</w:t>
      </w:r>
      <w:r>
        <w:rPr>
          <w:rFonts w:ascii="Times New Roman" w:hAnsi="Times New Roman" w:cs="Times New Roman"/>
          <w:i/>
          <w:iCs/>
          <w:sz w:val="24"/>
          <w:szCs w:val="24"/>
        </w:rPr>
        <w:t xml:space="preserve">Examining the dimensions of the learning organization questionnaire: a review and critique of research utilizing the DLOQ." </w:t>
      </w:r>
      <w:r>
        <w:rPr>
          <w:rFonts w:ascii="Times New Roman" w:hAnsi="Times New Roman" w:cs="Times New Roman"/>
          <w:i/>
          <w:iCs/>
          <w:sz w:val="24"/>
          <w:szCs w:val="24"/>
          <w:u w:val="single"/>
        </w:rPr>
        <w:t>Human Resource Development Review</w:t>
      </w:r>
      <w:r>
        <w:rPr>
          <w:rFonts w:ascii="Times New Roman" w:hAnsi="Times New Roman" w:cs="Times New Roman"/>
          <w:i/>
          <w:iCs/>
          <w:sz w:val="24"/>
          <w:szCs w:val="24"/>
        </w:rPr>
        <w:t xml:space="preserve"> </w:t>
      </w:r>
      <w:r>
        <w:rPr>
          <w:rFonts w:ascii="Times New Roman" w:hAnsi="Times New Roman" w:cs="Times New Roman"/>
          <w:b/>
          <w:sz w:val="24"/>
          <w:szCs w:val="24"/>
        </w:rPr>
        <w:t>14</w:t>
      </w:r>
      <w:r>
        <w:rPr>
          <w:rFonts w:ascii="Times New Roman" w:hAnsi="Times New Roman" w:cs="Times New Roman"/>
          <w:sz w:val="24"/>
          <w:szCs w:val="24"/>
        </w:rPr>
        <w:t>(1): 91-112.</w:t>
      </w:r>
      <w:bookmarkStart w:id="19" w:name="_ENREF_35"/>
      <w:bookmarkEnd w:id="18"/>
    </w:p>
    <w:p w14:paraId="5728E3D2"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20" w:name="_ENREF_36"/>
      <w:bookmarkEnd w:id="19"/>
    </w:p>
    <w:p w14:paraId="56B8CFF2"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Koch, T. and J. Windsperger (2017). "S</w:t>
      </w:r>
      <w:r>
        <w:rPr>
          <w:rFonts w:ascii="Times New Roman" w:hAnsi="Times New Roman" w:cs="Times New Roman"/>
          <w:i/>
          <w:iCs/>
          <w:sz w:val="24"/>
          <w:szCs w:val="24"/>
        </w:rPr>
        <w:t xml:space="preserve">eeing through the network: Competitive advantage in the digital economy." </w:t>
      </w:r>
      <w:r>
        <w:rPr>
          <w:rFonts w:ascii="Times New Roman" w:hAnsi="Times New Roman" w:cs="Times New Roman"/>
          <w:i/>
          <w:iCs/>
          <w:sz w:val="24"/>
          <w:szCs w:val="24"/>
          <w:u w:val="single"/>
        </w:rPr>
        <w:t>Journal of Organization Design</w:t>
      </w:r>
      <w:r>
        <w:rPr>
          <w:rFonts w:ascii="Times New Roman" w:hAnsi="Times New Roman" w:cs="Times New Roman"/>
          <w:sz w:val="24"/>
          <w:szCs w:val="24"/>
        </w:rPr>
        <w:t xml:space="preserve"> </w:t>
      </w:r>
      <w:r>
        <w:rPr>
          <w:rFonts w:ascii="Times New Roman" w:hAnsi="Times New Roman" w:cs="Times New Roman"/>
          <w:b/>
          <w:sz w:val="24"/>
          <w:szCs w:val="24"/>
        </w:rPr>
        <w:t>6</w:t>
      </w:r>
      <w:r>
        <w:rPr>
          <w:rFonts w:ascii="Times New Roman" w:hAnsi="Times New Roman" w:cs="Times New Roman"/>
          <w:sz w:val="24"/>
          <w:szCs w:val="24"/>
        </w:rPr>
        <w:t>(1): 6.</w:t>
      </w:r>
    </w:p>
    <w:p w14:paraId="0B0E5CE5"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21" w:name="_ENREF_39"/>
      <w:bookmarkEnd w:id="20"/>
      <w:r>
        <w:rPr>
          <w:rFonts w:ascii="Times New Roman" w:hAnsi="Times New Roman" w:cs="Times New Roman"/>
          <w:sz w:val="24"/>
          <w:szCs w:val="24"/>
        </w:rPr>
        <w:t xml:space="preserve"> </w:t>
      </w:r>
    </w:p>
    <w:p w14:paraId="410E78D6" w14:textId="77777777" w:rsidR="009C031F" w:rsidRDefault="009C031F" w:rsidP="009C031F">
      <w:pPr>
        <w:pStyle w:val="EndNoteBibliography"/>
        <w:spacing w:after="0"/>
        <w:ind w:left="1051"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Lehtiniemi, T., Kuikkaniemi, K., Poikola, A., Nelimarkka, M., Valtonen, T., Floréen, P., &amp; Turpeinen, M. (2015) Trends of knowledge work and needs for knowledge work tools. Re: Know White Paper. </w:t>
      </w:r>
      <w:bookmarkStart w:id="22" w:name="_ENREF_40"/>
    </w:p>
    <w:p w14:paraId="633E73B2" w14:textId="77777777" w:rsidR="009C031F" w:rsidRDefault="009C031F" w:rsidP="009C031F">
      <w:pPr>
        <w:pStyle w:val="EndNoteBibliography"/>
        <w:spacing w:after="0"/>
        <w:ind w:left="1051" w:hanging="709"/>
        <w:jc w:val="both"/>
        <w:rPr>
          <w:rFonts w:ascii="Times New Roman" w:hAnsi="Times New Roman" w:cs="Times New Roman"/>
          <w:color w:val="000000"/>
          <w:sz w:val="24"/>
          <w:szCs w:val="24"/>
        </w:rPr>
      </w:pPr>
    </w:p>
    <w:p w14:paraId="6DE95837"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Liao, S.-H., et al. (2016). "</w:t>
      </w:r>
      <w:r>
        <w:rPr>
          <w:rFonts w:ascii="Times New Roman" w:hAnsi="Times New Roman" w:cs="Times New Roman"/>
          <w:i/>
          <w:iCs/>
          <w:sz w:val="24"/>
          <w:szCs w:val="24"/>
        </w:rPr>
        <w:t xml:space="preserve">Developing a sustainable competitive advantage: absorptive capacity, knowledge transfer and organizational learning." </w:t>
      </w:r>
      <w:r>
        <w:rPr>
          <w:rFonts w:ascii="Times New Roman" w:hAnsi="Times New Roman" w:cs="Times New Roman"/>
          <w:i/>
          <w:iCs/>
          <w:sz w:val="24"/>
          <w:szCs w:val="24"/>
          <w:u w:val="single"/>
        </w:rPr>
        <w:t>The Journal of Technology Transfer</w:t>
      </w:r>
      <w:r>
        <w:rPr>
          <w:rFonts w:ascii="Times New Roman" w:hAnsi="Times New Roman" w:cs="Times New Roman"/>
          <w:sz w:val="24"/>
          <w:szCs w:val="24"/>
        </w:rPr>
        <w:t xml:space="preserve"> </w:t>
      </w:r>
      <w:r>
        <w:rPr>
          <w:rFonts w:ascii="Times New Roman" w:hAnsi="Times New Roman" w:cs="Times New Roman"/>
          <w:b/>
          <w:sz w:val="24"/>
          <w:szCs w:val="24"/>
        </w:rPr>
        <w:t>42</w:t>
      </w:r>
      <w:r>
        <w:rPr>
          <w:rFonts w:ascii="Times New Roman" w:hAnsi="Times New Roman" w:cs="Times New Roman"/>
          <w:sz w:val="24"/>
          <w:szCs w:val="24"/>
        </w:rPr>
        <w:t>(6): 1431-1450.</w:t>
      </w:r>
    </w:p>
    <w:bookmarkEnd w:id="22"/>
    <w:p w14:paraId="2BEA2D0B" w14:textId="77777777" w:rsidR="009C031F" w:rsidRDefault="009C031F" w:rsidP="009C031F">
      <w:pPr>
        <w:adjustRightInd w:val="0"/>
        <w:ind w:left="1051" w:hanging="709"/>
        <w:jc w:val="both"/>
        <w:rPr>
          <w:rFonts w:ascii="Times New Roman" w:hAnsi="Times New Roman" w:cs="Times New Roman"/>
          <w:color w:val="000000"/>
          <w:sz w:val="24"/>
          <w:szCs w:val="24"/>
        </w:rPr>
      </w:pPr>
    </w:p>
    <w:p w14:paraId="51CECA99"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color w:val="000000"/>
          <w:sz w:val="24"/>
          <w:szCs w:val="24"/>
        </w:rPr>
        <w:t xml:space="preserve">Loebbecke, C., Van Fenema, P. C., &amp; Powell, P. (2016). Managing inter-organizational knowledge sharing. The Journal of Strategic Information Systems, 25(1), 4–14. </w:t>
      </w:r>
    </w:p>
    <w:p w14:paraId="053F33FD" w14:textId="77777777" w:rsidR="009C031F" w:rsidRDefault="009C031F" w:rsidP="009C031F">
      <w:pPr>
        <w:pStyle w:val="EndNoteBibliography"/>
        <w:spacing w:after="0"/>
        <w:ind w:left="1051" w:hanging="709"/>
        <w:jc w:val="both"/>
        <w:rPr>
          <w:rFonts w:ascii="Times New Roman" w:hAnsi="Times New Roman" w:cs="Times New Roman"/>
          <w:sz w:val="24"/>
          <w:szCs w:val="24"/>
        </w:rPr>
      </w:pPr>
    </w:p>
    <w:p w14:paraId="64BA33AB" w14:textId="77777777" w:rsidR="009C031F" w:rsidRDefault="009C031F" w:rsidP="009C031F">
      <w:pPr>
        <w:adjustRightInd w:val="0"/>
        <w:ind w:left="1051" w:hanging="709"/>
        <w:jc w:val="both"/>
        <w:rPr>
          <w:rFonts w:ascii="Times New Roman" w:hAnsi="Times New Roman" w:cs="Times New Roman"/>
          <w:color w:val="000000"/>
          <w:sz w:val="24"/>
          <w:szCs w:val="24"/>
        </w:rPr>
      </w:pPr>
      <w:bookmarkStart w:id="23" w:name="_ENREF_42"/>
      <w:bookmarkEnd w:id="21"/>
      <w:r>
        <w:rPr>
          <w:rFonts w:ascii="Times New Roman" w:hAnsi="Times New Roman"/>
          <w:color w:val="000000"/>
          <w:sz w:val="24"/>
          <w:szCs w:val="24"/>
        </w:rPr>
        <w:t xml:space="preserve">Macmillan, I., Ihrig, M., &amp; Steinhour, J. (2017). Mapping critical knowledge for digital transformation. From </w:t>
      </w:r>
      <w:r>
        <w:rPr>
          <w:rFonts w:ascii="Times New Roman" w:hAnsi="Times New Roman"/>
          <w:color w:val="0000FF"/>
          <w:sz w:val="24"/>
          <w:szCs w:val="24"/>
        </w:rPr>
        <w:t>http://knowledge.wharton.upenn.edu/article/management-knowledge- assets/</w:t>
      </w:r>
      <w:r>
        <w:rPr>
          <w:rFonts w:ascii="Times New Roman" w:hAnsi="Times New Roman"/>
          <w:color w:val="000000"/>
          <w:sz w:val="24"/>
          <w:szCs w:val="24"/>
        </w:rPr>
        <w:t xml:space="preserve">. </w:t>
      </w:r>
    </w:p>
    <w:p w14:paraId="565D2141" w14:textId="77777777" w:rsidR="009C031F" w:rsidRDefault="009C031F" w:rsidP="009C031F">
      <w:pPr>
        <w:pStyle w:val="EndNoteBibliography"/>
        <w:spacing w:after="0"/>
        <w:ind w:left="1051" w:hanging="709"/>
        <w:jc w:val="both"/>
        <w:rPr>
          <w:rFonts w:ascii="Times New Roman" w:hAnsi="Times New Roman" w:cs="Times New Roman"/>
          <w:sz w:val="24"/>
          <w:szCs w:val="24"/>
        </w:rPr>
      </w:pPr>
    </w:p>
    <w:p w14:paraId="4DD1974D"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24" w:name="_ENREF_43"/>
      <w:bookmarkEnd w:id="23"/>
      <w:r>
        <w:rPr>
          <w:rFonts w:ascii="Times New Roman" w:hAnsi="Times New Roman" w:cs="Times New Roman"/>
          <w:sz w:val="24"/>
          <w:szCs w:val="24"/>
        </w:rPr>
        <w:t>Mark W. Bruner, Z. R., Ian D. Boardley, Jennifer Turnnidge, Alex J. Benson, Jordan Sutcliffe, Kathleen S. Wilson, Jean Côté (2017). "</w:t>
      </w:r>
      <w:r>
        <w:rPr>
          <w:rFonts w:ascii="Times New Roman" w:hAnsi="Times New Roman" w:cs="Times New Roman"/>
          <w:i/>
          <w:iCs/>
          <w:sz w:val="24"/>
          <w:szCs w:val="24"/>
        </w:rPr>
        <w:t xml:space="preserve">Disentangling the Relations between Social Identity and Prosocial and Antisocial Behavior in Competitive Youth Sport." </w:t>
      </w:r>
      <w:r>
        <w:rPr>
          <w:rFonts w:ascii="Times New Roman" w:hAnsi="Times New Roman" w:cs="Times New Roman"/>
          <w:i/>
          <w:iCs/>
          <w:sz w:val="24"/>
          <w:szCs w:val="24"/>
          <w:u w:val="single"/>
        </w:rPr>
        <w:t>J Youth Adolescence, Springer</w:t>
      </w:r>
      <w:r>
        <w:rPr>
          <w:rFonts w:ascii="Times New Roman" w:hAnsi="Times New Roman" w:cs="Times New Roman"/>
          <w:sz w:val="24"/>
          <w:szCs w:val="24"/>
        </w:rPr>
        <w:t>(2017).</w:t>
      </w:r>
    </w:p>
    <w:p w14:paraId="7CA632E5"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25" w:name="_ENREF_44"/>
      <w:bookmarkEnd w:id="24"/>
    </w:p>
    <w:p w14:paraId="0EFB77CD"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Martín-de Castro, G. (2015). "</w:t>
      </w:r>
      <w:r>
        <w:rPr>
          <w:rFonts w:ascii="Times New Roman" w:hAnsi="Times New Roman" w:cs="Times New Roman"/>
          <w:i/>
          <w:iCs/>
          <w:sz w:val="24"/>
          <w:szCs w:val="24"/>
        </w:rPr>
        <w:t xml:space="preserve">Knowledge management and innovation in knowledge-based and high-tech industrial markets: The role of openness and absorptive capacity." </w:t>
      </w:r>
      <w:r>
        <w:rPr>
          <w:rFonts w:ascii="Times New Roman" w:hAnsi="Times New Roman" w:cs="Times New Roman"/>
          <w:i/>
          <w:iCs/>
          <w:sz w:val="24"/>
          <w:szCs w:val="24"/>
          <w:u w:val="single"/>
        </w:rPr>
        <w:t>Industrial Marketing Management</w:t>
      </w:r>
      <w:r>
        <w:rPr>
          <w:rFonts w:ascii="Times New Roman" w:hAnsi="Times New Roman" w:cs="Times New Roman"/>
          <w:i/>
          <w:iCs/>
          <w:sz w:val="24"/>
          <w:szCs w:val="24"/>
        </w:rPr>
        <w:t xml:space="preserve"> </w:t>
      </w:r>
      <w:r>
        <w:rPr>
          <w:rFonts w:ascii="Times New Roman" w:hAnsi="Times New Roman" w:cs="Times New Roman"/>
          <w:b/>
          <w:sz w:val="24"/>
          <w:szCs w:val="24"/>
        </w:rPr>
        <w:t>47</w:t>
      </w:r>
      <w:r>
        <w:rPr>
          <w:rFonts w:ascii="Times New Roman" w:hAnsi="Times New Roman" w:cs="Times New Roman"/>
          <w:sz w:val="24"/>
          <w:szCs w:val="24"/>
        </w:rPr>
        <w:t>: 143-146.</w:t>
      </w:r>
    </w:p>
    <w:p w14:paraId="602FA9A5"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26" w:name="_ENREF_45"/>
      <w:bookmarkEnd w:id="25"/>
    </w:p>
    <w:p w14:paraId="1F8C054C" w14:textId="77777777" w:rsidR="009C031F" w:rsidRDefault="009C031F" w:rsidP="009C031F">
      <w:pPr>
        <w:ind w:left="1051" w:hanging="709"/>
        <w:jc w:val="both"/>
        <w:rPr>
          <w:rFonts w:ascii="Times New Roman" w:eastAsia="Times New Roman" w:hAnsi="Times New Roman" w:cs="Times New Roman"/>
          <w:sz w:val="24"/>
          <w:szCs w:val="24"/>
        </w:rPr>
      </w:pPr>
      <w:r>
        <w:rPr>
          <w:rFonts w:ascii="Times New Roman" w:hAnsi="Times New Roman"/>
          <w:sz w:val="24"/>
          <w:szCs w:val="24"/>
        </w:rPr>
        <w:t>Mathew, P. V. and S. Sreejesh (2017). "</w:t>
      </w:r>
      <w:r>
        <w:rPr>
          <w:rFonts w:ascii="Times New Roman" w:hAnsi="Times New Roman"/>
          <w:i/>
          <w:iCs/>
          <w:sz w:val="24"/>
          <w:szCs w:val="24"/>
        </w:rPr>
        <w:t xml:space="preserve">Impact of responsible tourism on destination sustainability and quality of life of community in tourism destinations." </w:t>
      </w:r>
      <w:r>
        <w:rPr>
          <w:rFonts w:ascii="Times New Roman" w:hAnsi="Times New Roman"/>
          <w:i/>
          <w:iCs/>
          <w:sz w:val="24"/>
          <w:szCs w:val="24"/>
          <w:u w:val="single"/>
        </w:rPr>
        <w:t>Journal of Hospitality and Tourism Management</w:t>
      </w:r>
      <w:r>
        <w:rPr>
          <w:rFonts w:ascii="Times New Roman" w:hAnsi="Times New Roman"/>
          <w:sz w:val="24"/>
          <w:szCs w:val="24"/>
        </w:rPr>
        <w:t xml:space="preserve"> </w:t>
      </w:r>
      <w:r>
        <w:rPr>
          <w:rFonts w:ascii="Times New Roman" w:hAnsi="Times New Roman"/>
          <w:b/>
          <w:sz w:val="24"/>
          <w:szCs w:val="24"/>
        </w:rPr>
        <w:t>31</w:t>
      </w:r>
      <w:r>
        <w:rPr>
          <w:rFonts w:ascii="Times New Roman" w:hAnsi="Times New Roman"/>
          <w:sz w:val="24"/>
          <w:szCs w:val="24"/>
        </w:rPr>
        <w:t>: 83-89.</w:t>
      </w:r>
      <w:r>
        <w:rPr>
          <w:rFonts w:ascii="Times New Roman" w:eastAsia="Times New Roman" w:hAnsi="Times New Roman"/>
          <w:sz w:val="24"/>
          <w:szCs w:val="24"/>
        </w:rPr>
        <w:t xml:space="preserve"> Mrass, V., &amp; Peters, C. (2017). Crowdworking-Plattformen in Deutschland.</w:t>
      </w:r>
    </w:p>
    <w:p w14:paraId="59B3ECBB" w14:textId="77777777" w:rsidR="009C031F" w:rsidRDefault="009C031F" w:rsidP="009C031F">
      <w:pPr>
        <w:ind w:left="1051" w:hanging="709"/>
        <w:jc w:val="both"/>
        <w:rPr>
          <w:rFonts w:ascii="Times New Roman" w:eastAsia="Calibri" w:hAnsi="Times New Roman"/>
          <w:sz w:val="24"/>
          <w:szCs w:val="24"/>
        </w:rPr>
      </w:pPr>
    </w:p>
    <w:p w14:paraId="668D9DA5" w14:textId="77777777" w:rsidR="009C031F" w:rsidRDefault="009C031F" w:rsidP="009C031F">
      <w:pPr>
        <w:ind w:left="1051" w:hanging="709"/>
        <w:jc w:val="both"/>
        <w:rPr>
          <w:rFonts w:ascii="Times New Roman" w:eastAsia="Times New Roman" w:hAnsi="Times New Roman"/>
          <w:sz w:val="24"/>
          <w:szCs w:val="24"/>
        </w:rPr>
      </w:pPr>
      <w:r>
        <w:rPr>
          <w:rFonts w:ascii="Times New Roman" w:eastAsia="Times New Roman" w:hAnsi="Times New Roman"/>
          <w:sz w:val="24"/>
          <w:szCs w:val="24"/>
        </w:rPr>
        <w:t xml:space="preserve">Mrass, Volkmar, Christoph Peters, and Jan Marco Leimeister. (2016)."New Work Organization through Crowdworking Platforms-A Case Study." </w:t>
      </w:r>
    </w:p>
    <w:p w14:paraId="61E5A95E" w14:textId="77777777" w:rsidR="009C031F" w:rsidRDefault="009C031F" w:rsidP="009C031F">
      <w:pPr>
        <w:pStyle w:val="EndNoteBibliography"/>
        <w:spacing w:after="0"/>
        <w:ind w:left="1051" w:hanging="709"/>
        <w:jc w:val="both"/>
        <w:rPr>
          <w:rFonts w:ascii="Times New Roman" w:eastAsia="Calibri" w:hAnsi="Times New Roman" w:cs="Times New Roman"/>
          <w:sz w:val="24"/>
          <w:szCs w:val="24"/>
        </w:rPr>
      </w:pPr>
    </w:p>
    <w:p w14:paraId="429F609A"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27" w:name="_ENREF_47"/>
      <w:bookmarkEnd w:id="26"/>
      <w:r>
        <w:rPr>
          <w:rFonts w:ascii="Times New Roman" w:hAnsi="Times New Roman" w:cs="Times New Roman"/>
          <w:sz w:val="24"/>
          <w:szCs w:val="24"/>
        </w:rPr>
        <w:t xml:space="preserve"> </w:t>
      </w:r>
    </w:p>
    <w:p w14:paraId="7749CB89"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28" w:name="_ENREF_48"/>
      <w:bookmarkEnd w:id="27"/>
      <w:r>
        <w:rPr>
          <w:rFonts w:ascii="Times New Roman" w:hAnsi="Times New Roman" w:cs="Times New Roman"/>
          <w:sz w:val="24"/>
          <w:szCs w:val="24"/>
        </w:rPr>
        <w:t>Musetescu, A. (2013). "</w:t>
      </w:r>
      <w:r>
        <w:rPr>
          <w:rFonts w:ascii="Times New Roman" w:hAnsi="Times New Roman" w:cs="Times New Roman"/>
          <w:i/>
          <w:iCs/>
          <w:sz w:val="24"/>
          <w:szCs w:val="24"/>
        </w:rPr>
        <w:t xml:space="preserve">How to Achieve a Competitive Advantage." </w:t>
      </w:r>
      <w:r>
        <w:rPr>
          <w:rFonts w:ascii="Times New Roman" w:hAnsi="Times New Roman" w:cs="Times New Roman"/>
          <w:i/>
          <w:iCs/>
          <w:sz w:val="24"/>
          <w:szCs w:val="24"/>
          <w:u w:val="single"/>
        </w:rPr>
        <w:t>Knowledge Horizons. Economics</w:t>
      </w:r>
      <w:r>
        <w:rPr>
          <w:rFonts w:ascii="Times New Roman" w:hAnsi="Times New Roman" w:cs="Times New Roman"/>
          <w:sz w:val="24"/>
          <w:szCs w:val="24"/>
        </w:rPr>
        <w:t xml:space="preserve"> </w:t>
      </w:r>
      <w:r>
        <w:rPr>
          <w:rFonts w:ascii="Times New Roman" w:hAnsi="Times New Roman" w:cs="Times New Roman"/>
          <w:b/>
          <w:sz w:val="24"/>
          <w:szCs w:val="24"/>
        </w:rPr>
        <w:t>5</w:t>
      </w:r>
      <w:r>
        <w:rPr>
          <w:rFonts w:ascii="Times New Roman" w:hAnsi="Times New Roman" w:cs="Times New Roman"/>
          <w:sz w:val="24"/>
          <w:szCs w:val="24"/>
        </w:rPr>
        <w:t>(1): 5.</w:t>
      </w:r>
    </w:p>
    <w:p w14:paraId="65122D92"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29" w:name="_ENREF_49"/>
      <w:bookmarkEnd w:id="28"/>
    </w:p>
    <w:p w14:paraId="056B1BF9"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 xml:space="preserve">Mustafa, Z. and T. Wijaya (2012). </w:t>
      </w:r>
      <w:r>
        <w:rPr>
          <w:rFonts w:ascii="Times New Roman" w:hAnsi="Times New Roman" w:cs="Times New Roman"/>
          <w:sz w:val="24"/>
          <w:szCs w:val="24"/>
          <w:u w:val="single"/>
        </w:rPr>
        <w:t>Panduan Teknik Statistik SEM &amp; PLS dengan SPSS AMOSS</w:t>
      </w:r>
      <w:r>
        <w:rPr>
          <w:rFonts w:ascii="Times New Roman" w:hAnsi="Times New Roman" w:cs="Times New Roman"/>
          <w:sz w:val="24"/>
          <w:szCs w:val="24"/>
        </w:rPr>
        <w:t>. Yogyakarta, Cahaya Atma Pustaka.</w:t>
      </w:r>
    </w:p>
    <w:p w14:paraId="791CE271"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0" w:name="_ENREF_52"/>
      <w:bookmarkEnd w:id="29"/>
    </w:p>
    <w:p w14:paraId="6427F1B9"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1" w:name="_ENREF_53"/>
      <w:bookmarkEnd w:id="30"/>
      <w:r>
        <w:rPr>
          <w:rFonts w:ascii="Times New Roman" w:hAnsi="Times New Roman" w:cs="Times New Roman"/>
          <w:sz w:val="24"/>
          <w:szCs w:val="24"/>
        </w:rPr>
        <w:t>Olaisen, J. and O. Revang (2017). "</w:t>
      </w:r>
      <w:r>
        <w:rPr>
          <w:rFonts w:ascii="Times New Roman" w:hAnsi="Times New Roman" w:cs="Times New Roman"/>
          <w:i/>
          <w:iCs/>
          <w:sz w:val="24"/>
          <w:szCs w:val="24"/>
        </w:rPr>
        <w:t xml:space="preserve">Working smarter and greener: Collaborative knowledge sharing in virtual global project teams." </w:t>
      </w:r>
      <w:r>
        <w:rPr>
          <w:rFonts w:ascii="Times New Roman" w:hAnsi="Times New Roman" w:cs="Times New Roman"/>
          <w:i/>
          <w:iCs/>
          <w:sz w:val="24"/>
          <w:szCs w:val="24"/>
          <w:u w:val="single"/>
        </w:rPr>
        <w:t>International Journal of Information Management</w:t>
      </w:r>
      <w:r>
        <w:rPr>
          <w:rFonts w:ascii="Times New Roman" w:hAnsi="Times New Roman" w:cs="Times New Roman"/>
          <w:i/>
          <w:iCs/>
          <w:sz w:val="24"/>
          <w:szCs w:val="24"/>
        </w:rPr>
        <w:t xml:space="preserve"> </w:t>
      </w:r>
      <w:r>
        <w:rPr>
          <w:rFonts w:ascii="Times New Roman" w:hAnsi="Times New Roman" w:cs="Times New Roman"/>
          <w:b/>
          <w:sz w:val="24"/>
          <w:szCs w:val="24"/>
        </w:rPr>
        <w:t>37</w:t>
      </w:r>
      <w:r>
        <w:rPr>
          <w:rFonts w:ascii="Times New Roman" w:hAnsi="Times New Roman" w:cs="Times New Roman"/>
          <w:sz w:val="24"/>
          <w:szCs w:val="24"/>
        </w:rPr>
        <w:t>(1): 1441-1448.</w:t>
      </w:r>
    </w:p>
    <w:p w14:paraId="6B713CF7" w14:textId="77777777" w:rsidR="009C031F" w:rsidRDefault="009C031F" w:rsidP="009C031F">
      <w:pPr>
        <w:adjustRightInd w:val="0"/>
        <w:ind w:left="1051" w:hanging="709"/>
        <w:jc w:val="both"/>
        <w:rPr>
          <w:rFonts w:ascii="Times New Roman" w:hAnsi="Times New Roman" w:cs="Times New Roman"/>
          <w:sz w:val="24"/>
          <w:szCs w:val="24"/>
        </w:rPr>
      </w:pPr>
      <w:bookmarkStart w:id="32" w:name="_ENREF_58"/>
      <w:bookmarkEnd w:id="31"/>
    </w:p>
    <w:p w14:paraId="723CCC1C"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 xml:space="preserve">North, K., &amp; Kumta, G. (2018). Knowledge management: Value creation through organizational learning. Berlin: Springer. </w:t>
      </w:r>
    </w:p>
    <w:p w14:paraId="216F3C18" w14:textId="77777777" w:rsidR="009C031F" w:rsidRDefault="009C031F" w:rsidP="009C031F">
      <w:pPr>
        <w:adjustRightInd w:val="0"/>
        <w:ind w:left="1051" w:hanging="709"/>
        <w:jc w:val="both"/>
        <w:rPr>
          <w:rFonts w:ascii="Times New Roman" w:hAnsi="Times New Roman"/>
          <w:color w:val="000000"/>
          <w:sz w:val="24"/>
          <w:szCs w:val="24"/>
        </w:rPr>
      </w:pPr>
    </w:p>
    <w:p w14:paraId="43612A2D"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color w:val="000000"/>
          <w:sz w:val="24"/>
          <w:szCs w:val="24"/>
        </w:rPr>
        <w:t xml:space="preserve">Ravenscroft, A., Schmidt, A., Cook, J., &amp; Bradley, C. (2012). Designing social media for informal learning and knowledge maturing in the digital workplace. Journal of Computer Assisted Learning, 28(3), 235–249. </w:t>
      </w:r>
    </w:p>
    <w:p w14:paraId="019BE8CD" w14:textId="77777777" w:rsidR="009C031F" w:rsidRDefault="009C031F" w:rsidP="009C031F">
      <w:pPr>
        <w:adjustRightInd w:val="0"/>
        <w:ind w:left="1051" w:hanging="709"/>
        <w:jc w:val="both"/>
        <w:rPr>
          <w:rFonts w:ascii="Times New Roman" w:hAnsi="Times New Roman"/>
          <w:color w:val="000000"/>
          <w:sz w:val="24"/>
          <w:szCs w:val="24"/>
        </w:rPr>
      </w:pPr>
    </w:p>
    <w:p w14:paraId="553EBBE4"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color w:val="000000"/>
          <w:sz w:val="24"/>
          <w:szCs w:val="24"/>
        </w:rPr>
        <w:t xml:space="preserve">Schäper, S., &amp; Thalmann, S. (2015). Addressing challenges for informal learning in networks of organizations. In ECIS. </w:t>
      </w:r>
    </w:p>
    <w:p w14:paraId="62BAF53D" w14:textId="77777777" w:rsidR="009C031F" w:rsidRDefault="009C031F" w:rsidP="009C031F">
      <w:pPr>
        <w:adjustRightInd w:val="0"/>
        <w:ind w:left="1051" w:hanging="709"/>
        <w:jc w:val="both"/>
        <w:rPr>
          <w:rFonts w:ascii="Times New Roman" w:hAnsi="Times New Roman"/>
          <w:color w:val="000000"/>
          <w:sz w:val="24"/>
          <w:szCs w:val="24"/>
        </w:rPr>
      </w:pPr>
    </w:p>
    <w:p w14:paraId="395F218B" w14:textId="77777777" w:rsidR="009C031F" w:rsidRDefault="009C031F" w:rsidP="009C031F">
      <w:pPr>
        <w:adjustRightInd w:val="0"/>
        <w:ind w:left="1051" w:hanging="709"/>
        <w:jc w:val="both"/>
        <w:rPr>
          <w:rFonts w:ascii="Times New Roman" w:hAnsi="Times New Roman"/>
          <w:color w:val="000000"/>
          <w:sz w:val="24"/>
          <w:szCs w:val="24"/>
        </w:rPr>
      </w:pPr>
      <w:r>
        <w:rPr>
          <w:rFonts w:ascii="Times New Roman" w:hAnsi="Times New Roman"/>
          <w:color w:val="000000"/>
          <w:sz w:val="24"/>
          <w:szCs w:val="24"/>
        </w:rPr>
        <w:lastRenderedPageBreak/>
        <w:t xml:space="preserve">Schamp, E. W., Rentmeister, B., &amp; Lo, V. (2004). Dimensions of proximity in knowledge-based networks: The cases of investment banking and automobile design. European Planning Studies, 12(5), 607–624. </w:t>
      </w:r>
    </w:p>
    <w:p w14:paraId="1196990E"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3" w:name="_ENREF_59"/>
      <w:bookmarkEnd w:id="32"/>
      <w:r>
        <w:rPr>
          <w:rFonts w:ascii="Times New Roman" w:hAnsi="Times New Roman" w:cs="Times New Roman"/>
          <w:sz w:val="24"/>
          <w:szCs w:val="24"/>
        </w:rPr>
        <w:t xml:space="preserve">Senge, M. P. (2009). </w:t>
      </w:r>
      <w:r>
        <w:rPr>
          <w:rFonts w:ascii="Times New Roman" w:hAnsi="Times New Roman" w:cs="Times New Roman"/>
          <w:i/>
          <w:iCs/>
          <w:sz w:val="24"/>
          <w:szCs w:val="24"/>
          <w:u w:val="single"/>
        </w:rPr>
        <w:t>The Fifth Discipline: The Art and Practice of the Learning Organization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Beijing, China China CITIC Press </w:t>
      </w:r>
    </w:p>
    <w:p w14:paraId="597A7378"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4" w:name="_ENREF_61"/>
      <w:bookmarkEnd w:id="33"/>
      <w:r>
        <w:rPr>
          <w:rFonts w:ascii="Times New Roman" w:hAnsi="Times New Roman" w:cs="Times New Roman"/>
          <w:sz w:val="24"/>
          <w:szCs w:val="24"/>
        </w:rPr>
        <w:t xml:space="preserve"> </w:t>
      </w:r>
    </w:p>
    <w:p w14:paraId="49ACA413"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5" w:name="_ENREF_62"/>
      <w:bookmarkEnd w:id="34"/>
      <w:r>
        <w:rPr>
          <w:rFonts w:ascii="Times New Roman" w:hAnsi="Times New Roman" w:cs="Times New Roman"/>
          <w:sz w:val="24"/>
          <w:szCs w:val="24"/>
        </w:rPr>
        <w:t>Sheng, M. L. and I. Chien (2016). "</w:t>
      </w:r>
      <w:r>
        <w:rPr>
          <w:rFonts w:ascii="Times New Roman" w:hAnsi="Times New Roman" w:cs="Times New Roman"/>
          <w:i/>
          <w:iCs/>
          <w:sz w:val="24"/>
          <w:szCs w:val="24"/>
        </w:rPr>
        <w:t xml:space="preserve">Rethinking organizational learning orientation on radical and incremental innovation in high-tech firms." </w:t>
      </w:r>
      <w:r>
        <w:rPr>
          <w:rFonts w:ascii="Times New Roman" w:hAnsi="Times New Roman" w:cs="Times New Roman"/>
          <w:i/>
          <w:iCs/>
          <w:sz w:val="24"/>
          <w:szCs w:val="24"/>
          <w:u w:val="single"/>
        </w:rPr>
        <w:t>Journal of Business Research</w:t>
      </w:r>
      <w:r>
        <w:rPr>
          <w:rFonts w:ascii="Times New Roman" w:hAnsi="Times New Roman" w:cs="Times New Roman"/>
          <w:sz w:val="24"/>
          <w:szCs w:val="24"/>
        </w:rPr>
        <w:t xml:space="preserve"> </w:t>
      </w:r>
      <w:r>
        <w:rPr>
          <w:rFonts w:ascii="Times New Roman" w:hAnsi="Times New Roman" w:cs="Times New Roman"/>
          <w:b/>
          <w:sz w:val="24"/>
          <w:szCs w:val="24"/>
        </w:rPr>
        <w:t>69</w:t>
      </w:r>
      <w:r>
        <w:rPr>
          <w:rFonts w:ascii="Times New Roman" w:hAnsi="Times New Roman" w:cs="Times New Roman"/>
          <w:sz w:val="24"/>
          <w:szCs w:val="24"/>
        </w:rPr>
        <w:t>(6): 2302-2308.</w:t>
      </w:r>
    </w:p>
    <w:p w14:paraId="7F1F52CD"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6" w:name="_ENREF_63"/>
      <w:bookmarkEnd w:id="35"/>
    </w:p>
    <w:p w14:paraId="6FB883DF"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Shu-Hsien Liao; Chih-Chiang Chen, D.-C. H., Yu-chun Chung,  Min-Ju Yang (2016). "</w:t>
      </w:r>
      <w:r>
        <w:rPr>
          <w:rFonts w:ascii="Times New Roman" w:hAnsi="Times New Roman" w:cs="Times New Roman"/>
          <w:i/>
          <w:iCs/>
          <w:sz w:val="24"/>
          <w:szCs w:val="24"/>
        </w:rPr>
        <w:t xml:space="preserve">Developing a sustainable competitive advantage: absorptive capacity, knowledge transfer and organizational learning." </w:t>
      </w:r>
      <w:r>
        <w:rPr>
          <w:rFonts w:ascii="Times New Roman" w:hAnsi="Times New Roman" w:cs="Times New Roman"/>
          <w:i/>
          <w:iCs/>
          <w:sz w:val="24"/>
          <w:szCs w:val="24"/>
          <w:u w:val="single"/>
        </w:rPr>
        <w:t>Springer Science+Business Media New York</w:t>
      </w:r>
      <w:r>
        <w:rPr>
          <w:rFonts w:ascii="Times New Roman" w:hAnsi="Times New Roman" w:cs="Times New Roman"/>
          <w:sz w:val="24"/>
          <w:szCs w:val="24"/>
        </w:rPr>
        <w:t>.</w:t>
      </w:r>
    </w:p>
    <w:bookmarkEnd w:id="36"/>
    <w:p w14:paraId="14A7F687" w14:textId="77777777" w:rsidR="009C031F" w:rsidRDefault="009C031F" w:rsidP="009C031F">
      <w:pPr>
        <w:pStyle w:val="EndNoteBibliography"/>
        <w:spacing w:after="0"/>
        <w:ind w:left="1051" w:hanging="709"/>
        <w:jc w:val="both"/>
        <w:rPr>
          <w:rFonts w:ascii="Times New Roman" w:hAnsi="Times New Roman" w:cs="Times New Roman"/>
          <w:sz w:val="24"/>
          <w:szCs w:val="24"/>
        </w:rPr>
      </w:pPr>
    </w:p>
    <w:p w14:paraId="0AA95DE8"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7" w:name="_ENREF_64"/>
      <w:r>
        <w:rPr>
          <w:rFonts w:ascii="Times New Roman" w:hAnsi="Times New Roman" w:cs="Times New Roman"/>
          <w:sz w:val="24"/>
          <w:szCs w:val="24"/>
        </w:rPr>
        <w:t>St-Jean, E. and J. Audet (2009). "</w:t>
      </w:r>
      <w:r>
        <w:rPr>
          <w:rFonts w:ascii="Times New Roman" w:hAnsi="Times New Roman" w:cs="Times New Roman"/>
          <w:i/>
          <w:iCs/>
          <w:sz w:val="24"/>
          <w:szCs w:val="24"/>
        </w:rPr>
        <w:t xml:space="preserve">The role of mentoring in the learning development of the novice entrepreneur." </w:t>
      </w:r>
      <w:r>
        <w:rPr>
          <w:rFonts w:ascii="Times New Roman" w:hAnsi="Times New Roman" w:cs="Times New Roman"/>
          <w:i/>
          <w:iCs/>
          <w:sz w:val="24"/>
          <w:szCs w:val="24"/>
          <w:u w:val="single"/>
        </w:rPr>
        <w:t>International Entrepreneurship and Management Journal</w:t>
      </w:r>
      <w:r>
        <w:rPr>
          <w:rFonts w:ascii="Times New Roman" w:hAnsi="Times New Roman" w:cs="Times New Roman"/>
          <w:sz w:val="24"/>
          <w:szCs w:val="24"/>
        </w:rPr>
        <w:t xml:space="preserve"> </w:t>
      </w:r>
      <w:r>
        <w:rPr>
          <w:rFonts w:ascii="Times New Roman" w:hAnsi="Times New Roman" w:cs="Times New Roman"/>
          <w:b/>
          <w:sz w:val="24"/>
          <w:szCs w:val="24"/>
        </w:rPr>
        <w:t>8</w:t>
      </w:r>
      <w:r>
        <w:rPr>
          <w:rFonts w:ascii="Times New Roman" w:hAnsi="Times New Roman" w:cs="Times New Roman"/>
          <w:sz w:val="24"/>
          <w:szCs w:val="24"/>
        </w:rPr>
        <w:t>(1): 119-140.</w:t>
      </w:r>
    </w:p>
    <w:p w14:paraId="1E843DFD"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8" w:name="_ENREF_69"/>
      <w:bookmarkEnd w:id="37"/>
    </w:p>
    <w:p w14:paraId="524AC8EF"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39" w:name="_ENREF_70"/>
      <w:bookmarkEnd w:id="38"/>
      <w:r>
        <w:rPr>
          <w:rFonts w:ascii="Times New Roman" w:hAnsi="Times New Roman" w:cs="Times New Roman"/>
          <w:sz w:val="24"/>
          <w:szCs w:val="24"/>
        </w:rPr>
        <w:t xml:space="preserve">Wen, H. (2014). " </w:t>
      </w:r>
      <w:r>
        <w:rPr>
          <w:rFonts w:ascii="Times New Roman" w:hAnsi="Times New Roman" w:cs="Times New Roman"/>
          <w:i/>
          <w:iCs/>
          <w:sz w:val="24"/>
          <w:szCs w:val="24"/>
        </w:rPr>
        <w:t xml:space="preserve">The nature, characteristics and ten strategies of learning organization. ." </w:t>
      </w:r>
      <w:r>
        <w:rPr>
          <w:rFonts w:ascii="Times New Roman" w:hAnsi="Times New Roman" w:cs="Times New Roman"/>
          <w:i/>
          <w:iCs/>
          <w:sz w:val="24"/>
          <w:szCs w:val="24"/>
          <w:u w:val="single"/>
        </w:rPr>
        <w:t>International Journal of Educational Management</w:t>
      </w:r>
      <w:r>
        <w:rPr>
          <w:rFonts w:ascii="Times New Roman" w:hAnsi="Times New Roman" w:cs="Times New Roman"/>
          <w:sz w:val="24"/>
          <w:szCs w:val="24"/>
          <w:u w:val="single"/>
        </w:rPr>
        <w:t>,</w:t>
      </w:r>
      <w:r>
        <w:rPr>
          <w:rFonts w:ascii="Times New Roman" w:hAnsi="Times New Roman" w:cs="Times New Roman"/>
          <w:sz w:val="24"/>
          <w:szCs w:val="24"/>
        </w:rPr>
        <w:t xml:space="preserve">(28(3)): 289–298 </w:t>
      </w:r>
    </w:p>
    <w:p w14:paraId="1A0B513E"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40" w:name="_ENREF_71"/>
      <w:bookmarkEnd w:id="39"/>
    </w:p>
    <w:p w14:paraId="3F3877E3" w14:textId="77777777" w:rsidR="009C031F" w:rsidRDefault="009C031F" w:rsidP="009C031F">
      <w:pPr>
        <w:pStyle w:val="EndNoteBibliography"/>
        <w:spacing w:after="0"/>
        <w:ind w:left="1051" w:hanging="709"/>
        <w:jc w:val="both"/>
        <w:rPr>
          <w:rFonts w:ascii="Times New Roman" w:hAnsi="Times New Roman" w:cs="Times New Roman"/>
          <w:i/>
          <w:iCs/>
          <w:sz w:val="24"/>
          <w:szCs w:val="24"/>
        </w:rPr>
      </w:pPr>
      <w:r>
        <w:rPr>
          <w:rFonts w:ascii="Times New Roman" w:hAnsi="Times New Roman" w:cs="Times New Roman"/>
          <w:sz w:val="24"/>
          <w:szCs w:val="24"/>
        </w:rPr>
        <w:t xml:space="preserve">Williamson, L. P. J. G. A. S. T. (2013). " </w:t>
      </w:r>
      <w:r>
        <w:rPr>
          <w:rFonts w:ascii="Times New Roman" w:hAnsi="Times New Roman" w:cs="Times New Roman"/>
          <w:i/>
          <w:iCs/>
          <w:sz w:val="24"/>
          <w:szCs w:val="24"/>
        </w:rPr>
        <w:t xml:space="preserve">Student Clubs: Experiences in Entrepreneurial Learning " </w:t>
      </w:r>
      <w:r>
        <w:rPr>
          <w:rFonts w:ascii="Times New Roman" w:hAnsi="Times New Roman" w:cs="Times New Roman"/>
          <w:i/>
          <w:iCs/>
          <w:sz w:val="24"/>
          <w:szCs w:val="24"/>
          <w:u w:val="single"/>
        </w:rPr>
        <w:t>RESEARCH ARTICLE</w:t>
      </w:r>
      <w:r>
        <w:rPr>
          <w:rFonts w:ascii="Times New Roman" w:hAnsi="Times New Roman" w:cs="Times New Roman"/>
          <w:i/>
          <w:iCs/>
          <w:sz w:val="24"/>
          <w:szCs w:val="24"/>
        </w:rPr>
        <w:t>.</w:t>
      </w:r>
    </w:p>
    <w:p w14:paraId="745C1A6D" w14:textId="77777777" w:rsidR="009C031F" w:rsidRDefault="009C031F" w:rsidP="009C031F">
      <w:pPr>
        <w:pStyle w:val="EndNoteBibliography"/>
        <w:spacing w:after="0"/>
        <w:ind w:left="1051" w:hanging="709"/>
        <w:jc w:val="both"/>
        <w:rPr>
          <w:rFonts w:ascii="Times New Roman" w:hAnsi="Times New Roman" w:cs="Times New Roman"/>
          <w:sz w:val="24"/>
          <w:szCs w:val="24"/>
        </w:rPr>
      </w:pPr>
      <w:bookmarkStart w:id="41" w:name="_ENREF_73"/>
      <w:bookmarkEnd w:id="40"/>
    </w:p>
    <w:p w14:paraId="0C6EB512"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Zach, F. J. and T. L. Hill (2017). "</w:t>
      </w:r>
      <w:r>
        <w:rPr>
          <w:rFonts w:ascii="Times New Roman" w:hAnsi="Times New Roman" w:cs="Times New Roman"/>
          <w:i/>
          <w:iCs/>
          <w:sz w:val="24"/>
          <w:szCs w:val="24"/>
        </w:rPr>
        <w:t xml:space="preserve">Network, knowledge and relationship impacts on innovation in tourism destinations." </w:t>
      </w:r>
      <w:r>
        <w:rPr>
          <w:rFonts w:ascii="Times New Roman" w:hAnsi="Times New Roman" w:cs="Times New Roman"/>
          <w:i/>
          <w:iCs/>
          <w:sz w:val="24"/>
          <w:szCs w:val="24"/>
          <w:u w:val="single"/>
        </w:rPr>
        <w:t>Tourism Management</w:t>
      </w:r>
      <w:r>
        <w:rPr>
          <w:rFonts w:ascii="Times New Roman" w:hAnsi="Times New Roman" w:cs="Times New Roman"/>
          <w:sz w:val="24"/>
          <w:szCs w:val="24"/>
        </w:rPr>
        <w:t xml:space="preserve"> </w:t>
      </w:r>
      <w:r>
        <w:rPr>
          <w:rFonts w:ascii="Times New Roman" w:hAnsi="Times New Roman" w:cs="Times New Roman"/>
          <w:b/>
          <w:sz w:val="24"/>
          <w:szCs w:val="24"/>
        </w:rPr>
        <w:t>62</w:t>
      </w:r>
      <w:r>
        <w:rPr>
          <w:rFonts w:ascii="Times New Roman" w:hAnsi="Times New Roman" w:cs="Times New Roman"/>
          <w:sz w:val="24"/>
          <w:szCs w:val="24"/>
        </w:rPr>
        <w:t>: 196-207.</w:t>
      </w:r>
    </w:p>
    <w:p w14:paraId="0E25358E" w14:textId="77777777" w:rsidR="009C031F" w:rsidRDefault="009C031F" w:rsidP="009C031F">
      <w:pPr>
        <w:pStyle w:val="EndNoteBibliography"/>
        <w:spacing w:after="0"/>
        <w:ind w:left="1051" w:hanging="709"/>
        <w:jc w:val="both"/>
        <w:rPr>
          <w:rFonts w:ascii="Times New Roman" w:hAnsi="Times New Roman" w:cs="Times New Roman"/>
          <w:sz w:val="24"/>
          <w:szCs w:val="24"/>
        </w:rPr>
      </w:pPr>
      <w:r>
        <w:rPr>
          <w:rFonts w:ascii="Times New Roman" w:hAnsi="Times New Roman" w:cs="Times New Roman"/>
          <w:sz w:val="24"/>
          <w:szCs w:val="24"/>
        </w:rPr>
        <w:tab/>
      </w:r>
      <w:bookmarkEnd w:id="41"/>
    </w:p>
    <w:p w14:paraId="44843D09" w14:textId="77777777" w:rsidR="009C031F" w:rsidRDefault="009C031F" w:rsidP="009C031F">
      <w:pPr>
        <w:ind w:left="1051" w:hanging="709"/>
        <w:jc w:val="both"/>
        <w:rPr>
          <w:rFonts w:ascii="Times New Roman" w:hAnsi="Times New Roman" w:cs="Times New Roman"/>
          <w:sz w:val="24"/>
          <w:szCs w:val="24"/>
          <w:lang w:val="id-ID"/>
        </w:rPr>
      </w:pPr>
      <w:r>
        <w:rPr>
          <w:rFonts w:ascii="Times New Roman" w:hAnsi="Times New Roman"/>
          <w:sz w:val="24"/>
          <w:szCs w:val="24"/>
        </w:rPr>
        <w:fldChar w:fldCharType="end"/>
      </w:r>
    </w:p>
    <w:p w14:paraId="202661CE" w14:textId="77777777" w:rsidR="009C031F" w:rsidRDefault="009C031F" w:rsidP="009C031F">
      <w:pPr>
        <w:ind w:left="709" w:hanging="709"/>
        <w:jc w:val="both"/>
        <w:rPr>
          <w:rFonts w:ascii="Times New Roman" w:hAnsi="Times New Roman"/>
          <w:sz w:val="24"/>
          <w:szCs w:val="24"/>
          <w:lang w:val="id-ID"/>
        </w:rPr>
      </w:pPr>
    </w:p>
    <w:p w14:paraId="7B82E603" w14:textId="77777777" w:rsidR="009C031F" w:rsidRDefault="009C031F" w:rsidP="009C031F">
      <w:pPr>
        <w:ind w:left="709" w:hanging="709"/>
        <w:jc w:val="both"/>
        <w:rPr>
          <w:rFonts w:ascii="Times New Roman" w:hAnsi="Times New Roman"/>
          <w:sz w:val="24"/>
          <w:szCs w:val="24"/>
          <w:lang w:val="id-ID"/>
        </w:rPr>
      </w:pPr>
    </w:p>
    <w:p w14:paraId="4EAF1BF0" w14:textId="77777777" w:rsidR="009C031F" w:rsidRDefault="009C031F">
      <w:pPr>
        <w:pStyle w:val="Heading2"/>
        <w:spacing w:before="100"/>
      </w:pPr>
    </w:p>
    <w:sectPr w:rsidR="009C031F" w:rsidSect="009C031F">
      <w:type w:val="continuous"/>
      <w:pgSz w:w="11900" w:h="16850"/>
      <w:pgMar w:top="300" w:right="1340" w:bottom="280" w:left="1360" w:header="720" w:footer="720" w:gutter="0"/>
      <w:cols w:space="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548B" w14:textId="77777777" w:rsidR="00CB64A4" w:rsidRDefault="00CB64A4">
      <w:r>
        <w:separator/>
      </w:r>
    </w:p>
  </w:endnote>
  <w:endnote w:type="continuationSeparator" w:id="0">
    <w:p w14:paraId="3996F081" w14:textId="77777777" w:rsidR="00CB64A4" w:rsidRDefault="00CB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F8B4" w14:textId="0F4633E7" w:rsidR="000753EB" w:rsidRDefault="003046B9">
    <w:pPr>
      <w:pStyle w:val="BodyText"/>
      <w:spacing w:line="14" w:lineRule="auto"/>
    </w:pPr>
    <w:r>
      <w:rPr>
        <w:noProof/>
      </w:rPr>
      <mc:AlternateContent>
        <mc:Choice Requires="wps">
          <w:drawing>
            <wp:anchor distT="0" distB="0" distL="114300" distR="114300" simplePos="0" relativeHeight="487129600" behindDoc="1" locked="0" layoutInCell="1" allowOverlap="1" wp14:anchorId="36BFC729" wp14:editId="3EEC6E09">
              <wp:simplePos x="0" y="0"/>
              <wp:positionH relativeFrom="page">
                <wp:posOffset>3677920</wp:posOffset>
              </wp:positionH>
              <wp:positionV relativeFrom="page">
                <wp:posOffset>10036810</wp:posOffset>
              </wp:positionV>
              <wp:extent cx="2044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BC29" w14:textId="77777777" w:rsidR="000753EB" w:rsidRDefault="00D80DB2">
                          <w:pPr>
                            <w:spacing w:before="17"/>
                            <w:ind w:left="60"/>
                            <w:rPr>
                              <w:sz w:val="18"/>
                            </w:rPr>
                          </w:pPr>
                          <w:r>
                            <w:fldChar w:fldCharType="begin"/>
                          </w:r>
                          <w:r>
                            <w:rPr>
                              <w:sz w:val="18"/>
                            </w:rPr>
                            <w:instrText xml:space="preserve"> PAGE </w:instrText>
                          </w:r>
                          <w:r>
                            <w:fldChar w:fldCharType="separate"/>
                          </w:r>
                          <w: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C729" id="_x0000_t202" coordsize="21600,21600" o:spt="202" path="m,l,21600r21600,l21600,xe">
              <v:stroke joinstyle="miter"/>
              <v:path gradientshapeok="t" o:connecttype="rect"/>
            </v:shapetype>
            <v:shape id="Text Box 1" o:spid="_x0000_s1027" type="#_x0000_t202" style="position:absolute;margin-left:289.6pt;margin-top:790.3pt;width:16.1pt;height:12.1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" filled="f" stroked="f">
              <v:textbox inset="0,0,0,0">
                <w:txbxContent>
                  <w:p w14:paraId="0F48BC29" w14:textId="77777777" w:rsidR="000753EB" w:rsidRDefault="00D80DB2">
                    <w:pPr>
                      <w:spacing w:before="17"/>
                      <w:ind w:left="60"/>
                      <w:rPr>
                        <w:sz w:val="18"/>
                      </w:rPr>
                    </w:pPr>
                    <w:r>
                      <w:fldChar w:fldCharType="begin"/>
                    </w:r>
                    <w:r>
                      <w:rPr>
                        <w:sz w:val="18"/>
                      </w:rPr>
                      <w:instrText xml:space="preserve"> PAGE </w:instrText>
                    </w:r>
                    <w:r>
                      <w:fldChar w:fldCharType="separate"/>
                    </w:r>
                    <w:r>
                      <w:t>70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C5F5" w14:textId="77777777" w:rsidR="00CB64A4" w:rsidRDefault="00CB64A4">
      <w:r>
        <w:separator/>
      </w:r>
    </w:p>
  </w:footnote>
  <w:footnote w:type="continuationSeparator" w:id="0">
    <w:p w14:paraId="1F6EF624" w14:textId="77777777" w:rsidR="00CB64A4" w:rsidRDefault="00CB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E420" w14:textId="77777777" w:rsidR="00FE46A8" w:rsidRDefault="00FE46A8" w:rsidP="00FE46A8">
    <w:pPr>
      <w:pStyle w:val="BodyText"/>
      <w:spacing w:line="14" w:lineRule="auto"/>
    </w:pPr>
    <w:r>
      <w:rPr>
        <w:noProof/>
      </w:rPr>
      <mc:AlternateContent>
        <mc:Choice Requires="wps">
          <w:drawing>
            <wp:anchor distT="0" distB="0" distL="114300" distR="114300" simplePos="0" relativeHeight="487131648" behindDoc="1" locked="0" layoutInCell="1" allowOverlap="1" wp14:anchorId="06787AE5" wp14:editId="570F5072">
              <wp:simplePos x="0" y="0"/>
              <wp:positionH relativeFrom="page">
                <wp:posOffset>1010285</wp:posOffset>
              </wp:positionH>
              <wp:positionV relativeFrom="page">
                <wp:posOffset>739140</wp:posOffset>
              </wp:positionV>
              <wp:extent cx="549592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3146" id="Line 3" o:spid="_x0000_s1026" style="position:absolute;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5pt,58.2pt" to="512.3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" strokeweight=".72pt">
              <w10:wrap anchorx="page" anchory="page"/>
            </v:line>
          </w:pict>
        </mc:Fallback>
      </mc:AlternateContent>
    </w:r>
    <w:r>
      <w:rPr>
        <w:noProof/>
      </w:rPr>
      <mc:AlternateContent>
        <mc:Choice Requires="wps">
          <w:drawing>
            <wp:anchor distT="0" distB="0" distL="114300" distR="114300" simplePos="0" relativeHeight="487132672" behindDoc="1" locked="0" layoutInCell="1" allowOverlap="1" wp14:anchorId="018E1A88" wp14:editId="439C8336">
              <wp:simplePos x="0" y="0"/>
              <wp:positionH relativeFrom="page">
                <wp:posOffset>1068070</wp:posOffset>
              </wp:positionH>
              <wp:positionV relativeFrom="page">
                <wp:posOffset>467995</wp:posOffset>
              </wp:positionV>
              <wp:extent cx="3011805" cy="124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545B" w14:textId="2A33D50F" w:rsidR="00FE46A8" w:rsidRDefault="0053431A" w:rsidP="00FE46A8">
                          <w:pPr>
                            <w:spacing w:before="14"/>
                            <w:ind w:left="20"/>
                            <w:rPr>
                              <w:rFonts w:ascii="Arial"/>
                              <w:i/>
                              <w:sz w:val="14"/>
                            </w:rPr>
                          </w:pPr>
                          <w:r>
                            <w:rPr>
                              <w:rFonts w:ascii="Arial"/>
                              <w:i/>
                              <w:sz w:val="14"/>
                            </w:rPr>
                            <w:t>International Journal Management, Business and Social Sciences</w:t>
                          </w:r>
                          <w:r w:rsidR="00FE46A8">
                            <w:rPr>
                              <w:rFonts w:ascii="Arial"/>
                              <w:i/>
                              <w:sz w:val="14"/>
                            </w:rPr>
                            <w:t>,</w:t>
                          </w:r>
                          <w:r w:rsidR="00FE46A8">
                            <w:rPr>
                              <w:rFonts w:ascii="Arial"/>
                              <w:i/>
                              <w:spacing w:val="-2"/>
                              <w:sz w:val="14"/>
                            </w:rPr>
                            <w:t xml:space="preserve"> </w:t>
                          </w:r>
                          <w:r w:rsidR="00FE46A8">
                            <w:rPr>
                              <w:rFonts w:ascii="Arial"/>
                              <w:i/>
                              <w:sz w:val="14"/>
                            </w:rPr>
                            <w:t xml:space="preserve">Vol. </w:t>
                          </w:r>
                          <w:r>
                            <w:rPr>
                              <w:rFonts w:ascii="Arial"/>
                              <w:i/>
                              <w:sz w:val="14"/>
                            </w:rPr>
                            <w:t>1</w:t>
                          </w:r>
                          <w:r w:rsidR="00FE46A8">
                            <w:rPr>
                              <w:rFonts w:ascii="Arial"/>
                              <w:i/>
                              <w:sz w:val="14"/>
                            </w:rPr>
                            <w:t>,</w:t>
                          </w:r>
                          <w:r w:rsidR="00FE46A8">
                            <w:rPr>
                              <w:rFonts w:ascii="Arial"/>
                              <w:i/>
                              <w:spacing w:val="-3"/>
                              <w:sz w:val="14"/>
                            </w:rPr>
                            <w:t xml:space="preserve"> </w:t>
                          </w:r>
                          <w:r w:rsidR="00FE46A8">
                            <w:rPr>
                              <w:rFonts w:ascii="Arial"/>
                              <w:i/>
                              <w:sz w:val="14"/>
                            </w:rPr>
                            <w:t>No.</w:t>
                          </w:r>
                          <w:r w:rsidR="00FE46A8">
                            <w:rPr>
                              <w:rFonts w:ascii="Arial"/>
                              <w:i/>
                              <w:spacing w:val="-1"/>
                              <w:sz w:val="14"/>
                            </w:rPr>
                            <w:t xml:space="preserve"> </w:t>
                          </w:r>
                          <w:r w:rsidR="00FE46A8">
                            <w:rPr>
                              <w:rFonts w:ascii="Arial"/>
                              <w:i/>
                              <w:sz w:val="14"/>
                            </w:rPr>
                            <w:t>2,</w:t>
                          </w:r>
                          <w:r w:rsidR="00FE46A8">
                            <w:rPr>
                              <w:rFonts w:ascii="Arial"/>
                              <w:i/>
                              <w:spacing w:val="-2"/>
                              <w:sz w:val="14"/>
                            </w:rPr>
                            <w:t xml:space="preserve"> </w:t>
                          </w:r>
                          <w:r w:rsidR="00FE46A8">
                            <w:rPr>
                              <w:rFonts w:ascii="Arial"/>
                              <w:i/>
                              <w:sz w:val="14"/>
                            </w:rPr>
                            <w:t>2021,</w:t>
                          </w:r>
                          <w:r w:rsidR="00FE46A8">
                            <w:rPr>
                              <w:rFonts w:ascii="Arial"/>
                              <w:i/>
                              <w:spacing w:val="-1"/>
                              <w:sz w:val="14"/>
                            </w:rPr>
                            <w:t xml:space="preserve"> </w:t>
                          </w:r>
                          <w:r w:rsidR="00FE46A8">
                            <w:rPr>
                              <w:rFonts w:ascii="Arial"/>
                              <w:i/>
                              <w:sz w:val="14"/>
                            </w:rPr>
                            <w:t>pp.</w:t>
                          </w:r>
                          <w:r w:rsidR="00FE46A8">
                            <w:rPr>
                              <w:rFonts w:ascii="Arial"/>
                              <w:i/>
                              <w:spacing w:val="-3"/>
                              <w:sz w:val="14"/>
                            </w:rPr>
                            <w:t xml:space="preserve"> </w:t>
                          </w:r>
                          <w:r w:rsidR="00FE46A8">
                            <w:rPr>
                              <w:rFonts w:ascii="Arial"/>
                              <w:i/>
                              <w:sz w:val="14"/>
                            </w:rPr>
                            <w:t>69-81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E1A88" id="_x0000_t202" coordsize="21600,21600" o:spt="202" path="m,l,21600r21600,l21600,xe">
              <v:stroke joinstyle="miter"/>
              <v:path gradientshapeok="t" o:connecttype="rect"/>
            </v:shapetype>
            <v:shape id="Text Box 2" o:spid="_x0000_s1026" type="#_x0000_t202" style="position:absolute;margin-left:84.1pt;margin-top:36.85pt;width:237.15pt;height:9.8pt;z-index:-161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" filled="f" stroked="f">
              <v:textbox inset="0,0,0,0">
                <w:txbxContent>
                  <w:p w14:paraId="01EC545B" w14:textId="2A33D50F" w:rsidR="00FE46A8" w:rsidRDefault="0053431A" w:rsidP="00FE46A8">
                    <w:pPr>
                      <w:spacing w:before="14"/>
                      <w:ind w:left="20"/>
                      <w:rPr>
                        <w:rFonts w:ascii="Arial"/>
                        <w:i/>
                        <w:sz w:val="14"/>
                      </w:rPr>
                    </w:pPr>
                    <w:r>
                      <w:rPr>
                        <w:rFonts w:ascii="Arial"/>
                        <w:i/>
                        <w:sz w:val="14"/>
                      </w:rPr>
                      <w:t>International Journal Management, Business and Social Sciences</w:t>
                    </w:r>
                    <w:r w:rsidR="00FE46A8">
                      <w:rPr>
                        <w:rFonts w:ascii="Arial"/>
                        <w:i/>
                        <w:sz w:val="14"/>
                      </w:rPr>
                      <w:t>,</w:t>
                    </w:r>
                    <w:r w:rsidR="00FE46A8">
                      <w:rPr>
                        <w:rFonts w:ascii="Arial"/>
                        <w:i/>
                        <w:spacing w:val="-2"/>
                        <w:sz w:val="14"/>
                      </w:rPr>
                      <w:t xml:space="preserve"> </w:t>
                    </w:r>
                    <w:r w:rsidR="00FE46A8">
                      <w:rPr>
                        <w:rFonts w:ascii="Arial"/>
                        <w:i/>
                        <w:sz w:val="14"/>
                      </w:rPr>
                      <w:t xml:space="preserve">Vol. </w:t>
                    </w:r>
                    <w:r>
                      <w:rPr>
                        <w:rFonts w:ascii="Arial"/>
                        <w:i/>
                        <w:sz w:val="14"/>
                      </w:rPr>
                      <w:t>1</w:t>
                    </w:r>
                    <w:r w:rsidR="00FE46A8">
                      <w:rPr>
                        <w:rFonts w:ascii="Arial"/>
                        <w:i/>
                        <w:sz w:val="14"/>
                      </w:rPr>
                      <w:t>,</w:t>
                    </w:r>
                    <w:r w:rsidR="00FE46A8">
                      <w:rPr>
                        <w:rFonts w:ascii="Arial"/>
                        <w:i/>
                        <w:spacing w:val="-3"/>
                        <w:sz w:val="14"/>
                      </w:rPr>
                      <w:t xml:space="preserve"> </w:t>
                    </w:r>
                    <w:r w:rsidR="00FE46A8">
                      <w:rPr>
                        <w:rFonts w:ascii="Arial"/>
                        <w:i/>
                        <w:sz w:val="14"/>
                      </w:rPr>
                      <w:t>No.</w:t>
                    </w:r>
                    <w:r w:rsidR="00FE46A8">
                      <w:rPr>
                        <w:rFonts w:ascii="Arial"/>
                        <w:i/>
                        <w:spacing w:val="-1"/>
                        <w:sz w:val="14"/>
                      </w:rPr>
                      <w:t xml:space="preserve"> </w:t>
                    </w:r>
                    <w:r w:rsidR="00FE46A8">
                      <w:rPr>
                        <w:rFonts w:ascii="Arial"/>
                        <w:i/>
                        <w:sz w:val="14"/>
                      </w:rPr>
                      <w:t>2,</w:t>
                    </w:r>
                    <w:r w:rsidR="00FE46A8">
                      <w:rPr>
                        <w:rFonts w:ascii="Arial"/>
                        <w:i/>
                        <w:spacing w:val="-2"/>
                        <w:sz w:val="14"/>
                      </w:rPr>
                      <w:t xml:space="preserve"> </w:t>
                    </w:r>
                    <w:r w:rsidR="00FE46A8">
                      <w:rPr>
                        <w:rFonts w:ascii="Arial"/>
                        <w:i/>
                        <w:sz w:val="14"/>
                      </w:rPr>
                      <w:t>2021,</w:t>
                    </w:r>
                    <w:r w:rsidR="00FE46A8">
                      <w:rPr>
                        <w:rFonts w:ascii="Arial"/>
                        <w:i/>
                        <w:spacing w:val="-1"/>
                        <w:sz w:val="14"/>
                      </w:rPr>
                      <w:t xml:space="preserve"> </w:t>
                    </w:r>
                    <w:r w:rsidR="00FE46A8">
                      <w:rPr>
                        <w:rFonts w:ascii="Arial"/>
                        <w:i/>
                        <w:sz w:val="14"/>
                      </w:rPr>
                      <w:t>pp.</w:t>
                    </w:r>
                    <w:r w:rsidR="00FE46A8">
                      <w:rPr>
                        <w:rFonts w:ascii="Arial"/>
                        <w:i/>
                        <w:spacing w:val="-3"/>
                        <w:sz w:val="14"/>
                      </w:rPr>
                      <w:t xml:space="preserve"> </w:t>
                    </w:r>
                    <w:r w:rsidR="00FE46A8">
                      <w:rPr>
                        <w:rFonts w:ascii="Arial"/>
                        <w:i/>
                        <w:sz w:val="14"/>
                      </w:rPr>
                      <w:t>69-81</w:t>
                    </w:r>
                  </w:p>
                </w:txbxContent>
              </v:textbox>
              <w10:wrap anchorx="page" anchory="page"/>
            </v:shape>
          </w:pict>
        </mc:Fallback>
      </mc:AlternateContent>
    </w:r>
  </w:p>
  <w:p w14:paraId="154B339B" w14:textId="26783090" w:rsidR="000753EB" w:rsidRDefault="000753EB" w:rsidP="00FE46A8">
    <w:pPr>
      <w:pStyle w:val="Header"/>
    </w:pPr>
  </w:p>
  <w:p w14:paraId="149A639E" w14:textId="77777777" w:rsidR="00FE46A8" w:rsidRPr="00FE46A8" w:rsidRDefault="00FE46A8" w:rsidP="00FE4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668C"/>
    <w:multiLevelType w:val="hybridMultilevel"/>
    <w:tmpl w:val="7E38AA3C"/>
    <w:lvl w:ilvl="0" w:tplc="3809000F">
      <w:start w:val="1"/>
      <w:numFmt w:val="decimal"/>
      <w:lvlText w:val="%1."/>
      <w:lvlJc w:val="left"/>
      <w:pPr>
        <w:ind w:left="1062" w:hanging="360"/>
      </w:pPr>
    </w:lvl>
    <w:lvl w:ilvl="1" w:tplc="38090019" w:tentative="1">
      <w:start w:val="1"/>
      <w:numFmt w:val="lowerLetter"/>
      <w:lvlText w:val="%2."/>
      <w:lvlJc w:val="left"/>
      <w:pPr>
        <w:ind w:left="1782" w:hanging="360"/>
      </w:pPr>
    </w:lvl>
    <w:lvl w:ilvl="2" w:tplc="3809001B" w:tentative="1">
      <w:start w:val="1"/>
      <w:numFmt w:val="lowerRoman"/>
      <w:lvlText w:val="%3."/>
      <w:lvlJc w:val="right"/>
      <w:pPr>
        <w:ind w:left="2502" w:hanging="180"/>
      </w:pPr>
    </w:lvl>
    <w:lvl w:ilvl="3" w:tplc="3809000F" w:tentative="1">
      <w:start w:val="1"/>
      <w:numFmt w:val="decimal"/>
      <w:lvlText w:val="%4."/>
      <w:lvlJc w:val="left"/>
      <w:pPr>
        <w:ind w:left="3222" w:hanging="360"/>
      </w:pPr>
    </w:lvl>
    <w:lvl w:ilvl="4" w:tplc="38090019" w:tentative="1">
      <w:start w:val="1"/>
      <w:numFmt w:val="lowerLetter"/>
      <w:lvlText w:val="%5."/>
      <w:lvlJc w:val="left"/>
      <w:pPr>
        <w:ind w:left="3942" w:hanging="360"/>
      </w:pPr>
    </w:lvl>
    <w:lvl w:ilvl="5" w:tplc="3809001B" w:tentative="1">
      <w:start w:val="1"/>
      <w:numFmt w:val="lowerRoman"/>
      <w:lvlText w:val="%6."/>
      <w:lvlJc w:val="right"/>
      <w:pPr>
        <w:ind w:left="4662" w:hanging="180"/>
      </w:pPr>
    </w:lvl>
    <w:lvl w:ilvl="6" w:tplc="3809000F" w:tentative="1">
      <w:start w:val="1"/>
      <w:numFmt w:val="decimal"/>
      <w:lvlText w:val="%7."/>
      <w:lvlJc w:val="left"/>
      <w:pPr>
        <w:ind w:left="5382" w:hanging="360"/>
      </w:pPr>
    </w:lvl>
    <w:lvl w:ilvl="7" w:tplc="38090019" w:tentative="1">
      <w:start w:val="1"/>
      <w:numFmt w:val="lowerLetter"/>
      <w:lvlText w:val="%8."/>
      <w:lvlJc w:val="left"/>
      <w:pPr>
        <w:ind w:left="6102" w:hanging="360"/>
      </w:pPr>
    </w:lvl>
    <w:lvl w:ilvl="8" w:tplc="3809001B" w:tentative="1">
      <w:start w:val="1"/>
      <w:numFmt w:val="lowerRoman"/>
      <w:lvlText w:val="%9."/>
      <w:lvlJc w:val="right"/>
      <w:pPr>
        <w:ind w:left="6822" w:hanging="180"/>
      </w:pPr>
    </w:lvl>
  </w:abstractNum>
  <w:abstractNum w:abstractNumId="1" w15:restartNumberingAfterBreak="0">
    <w:nsid w:val="62343CAF"/>
    <w:multiLevelType w:val="hybridMultilevel"/>
    <w:tmpl w:val="EFAE647C"/>
    <w:lvl w:ilvl="0" w:tplc="CA6AD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4CD4AA5"/>
    <w:multiLevelType w:val="hybridMultilevel"/>
    <w:tmpl w:val="8B7CACF8"/>
    <w:lvl w:ilvl="0" w:tplc="CA6AD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9261813"/>
    <w:multiLevelType w:val="hybridMultilevel"/>
    <w:tmpl w:val="6EAE9072"/>
    <w:lvl w:ilvl="0" w:tplc="CA6AD8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D605B49"/>
    <w:multiLevelType w:val="hybridMultilevel"/>
    <w:tmpl w:val="2314031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72995">
    <w:abstractNumId w:val="3"/>
  </w:num>
  <w:num w:numId="2" w16cid:durableId="823471023">
    <w:abstractNumId w:val="0"/>
  </w:num>
  <w:num w:numId="3" w16cid:durableId="332300018">
    <w:abstractNumId w:val="1"/>
  </w:num>
  <w:num w:numId="4" w16cid:durableId="1723603014">
    <w:abstractNumId w:val="2"/>
  </w:num>
  <w:num w:numId="5" w16cid:durableId="13147995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EB"/>
    <w:rsid w:val="000753EB"/>
    <w:rsid w:val="000B019E"/>
    <w:rsid w:val="000C566B"/>
    <w:rsid w:val="00251D4F"/>
    <w:rsid w:val="002E3795"/>
    <w:rsid w:val="002E46B9"/>
    <w:rsid w:val="003046B9"/>
    <w:rsid w:val="0034785D"/>
    <w:rsid w:val="003846E9"/>
    <w:rsid w:val="00386A71"/>
    <w:rsid w:val="004063EC"/>
    <w:rsid w:val="0053431A"/>
    <w:rsid w:val="00647BAF"/>
    <w:rsid w:val="00684F33"/>
    <w:rsid w:val="00693604"/>
    <w:rsid w:val="007A07F8"/>
    <w:rsid w:val="007B7EFE"/>
    <w:rsid w:val="007C56F2"/>
    <w:rsid w:val="00805E57"/>
    <w:rsid w:val="00901FE4"/>
    <w:rsid w:val="00993C2B"/>
    <w:rsid w:val="009C031F"/>
    <w:rsid w:val="009D4A50"/>
    <w:rsid w:val="00AB0FA1"/>
    <w:rsid w:val="00AC77BB"/>
    <w:rsid w:val="00B14CEB"/>
    <w:rsid w:val="00B85A42"/>
    <w:rsid w:val="00CB64A4"/>
    <w:rsid w:val="00CB7162"/>
    <w:rsid w:val="00D80DB2"/>
    <w:rsid w:val="00DD4400"/>
    <w:rsid w:val="00E054FD"/>
    <w:rsid w:val="00EA1371"/>
    <w:rsid w:val="00FB48D6"/>
    <w:rsid w:val="00FE16AE"/>
    <w:rsid w:val="00FE46A8"/>
    <w:rsid w:val="00FF2C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B933"/>
  <w15:docId w15:val="{C57279CE-8F37-4F75-B70C-AFA7E8C2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42"/>
      <w:outlineLvl w:val="0"/>
    </w:pPr>
    <w:rPr>
      <w:rFonts w:ascii="Verdana" w:eastAsia="Verdana" w:hAnsi="Verdana" w:cs="Verdana"/>
      <w:b/>
      <w:bCs/>
      <w:i/>
      <w:iCs/>
      <w:sz w:val="21"/>
      <w:szCs w:val="21"/>
    </w:rPr>
  </w:style>
  <w:style w:type="paragraph" w:styleId="Heading2">
    <w:name w:val="heading 2"/>
    <w:basedOn w:val="Normal"/>
    <w:uiPriority w:val="9"/>
    <w:unhideWhenUsed/>
    <w:qFormat/>
    <w:pPr>
      <w:ind w:left="342"/>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3846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spasi 2 taiiii,skripsi"/>
    <w:basedOn w:val="Normal"/>
    <w:link w:val="ListParagraphChar"/>
    <w:uiPriority w:val="99"/>
    <w:qFormat/>
  </w:style>
  <w:style w:type="paragraph" w:customStyle="1" w:styleId="TableParagraph">
    <w:name w:val="Table Paragraph"/>
    <w:basedOn w:val="Normal"/>
    <w:uiPriority w:val="1"/>
    <w:qFormat/>
    <w:rPr>
      <w:rFonts w:ascii="Arial MT" w:eastAsia="Arial MT" w:hAnsi="Arial MT" w:cs="Arial MT"/>
    </w:rPr>
  </w:style>
  <w:style w:type="character" w:customStyle="1" w:styleId="Heading3Char">
    <w:name w:val="Heading 3 Char"/>
    <w:basedOn w:val="DefaultParagraphFont"/>
    <w:link w:val="Heading3"/>
    <w:uiPriority w:val="9"/>
    <w:rsid w:val="003846E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85A42"/>
    <w:pPr>
      <w:tabs>
        <w:tab w:val="center" w:pos="4513"/>
        <w:tab w:val="right" w:pos="9026"/>
      </w:tabs>
    </w:pPr>
  </w:style>
  <w:style w:type="character" w:customStyle="1" w:styleId="HeaderChar">
    <w:name w:val="Header Char"/>
    <w:basedOn w:val="DefaultParagraphFont"/>
    <w:link w:val="Header"/>
    <w:uiPriority w:val="99"/>
    <w:rsid w:val="00B85A42"/>
    <w:rPr>
      <w:rFonts w:ascii="Microsoft Sans Serif" w:eastAsia="Microsoft Sans Serif" w:hAnsi="Microsoft Sans Serif" w:cs="Microsoft Sans Serif"/>
    </w:rPr>
  </w:style>
  <w:style w:type="paragraph" w:styleId="Footer">
    <w:name w:val="footer"/>
    <w:basedOn w:val="Normal"/>
    <w:link w:val="FooterChar"/>
    <w:uiPriority w:val="99"/>
    <w:unhideWhenUsed/>
    <w:rsid w:val="00B85A42"/>
    <w:pPr>
      <w:tabs>
        <w:tab w:val="center" w:pos="4513"/>
        <w:tab w:val="right" w:pos="9026"/>
      </w:tabs>
    </w:pPr>
  </w:style>
  <w:style w:type="character" w:customStyle="1" w:styleId="FooterChar">
    <w:name w:val="Footer Char"/>
    <w:basedOn w:val="DefaultParagraphFont"/>
    <w:link w:val="Footer"/>
    <w:uiPriority w:val="99"/>
    <w:rsid w:val="00B85A42"/>
    <w:rPr>
      <w:rFonts w:ascii="Microsoft Sans Serif" w:eastAsia="Microsoft Sans Serif" w:hAnsi="Microsoft Sans Serif" w:cs="Microsoft Sans Serif"/>
    </w:rPr>
  </w:style>
  <w:style w:type="character" w:customStyle="1" w:styleId="ListParagraphChar">
    <w:name w:val="List Paragraph Char"/>
    <w:aliases w:val="spasi 2 taiiii Char,skripsi Char"/>
    <w:link w:val="ListParagraph"/>
    <w:uiPriority w:val="99"/>
    <w:locked/>
    <w:rsid w:val="00FB48D6"/>
    <w:rPr>
      <w:rFonts w:ascii="Microsoft Sans Serif" w:eastAsia="Microsoft Sans Serif" w:hAnsi="Microsoft Sans Serif" w:cs="Microsoft Sans Serif"/>
    </w:rPr>
  </w:style>
  <w:style w:type="table" w:styleId="TableGrid">
    <w:name w:val="Table Grid"/>
    <w:basedOn w:val="TableNormal"/>
    <w:uiPriority w:val="39"/>
    <w:rsid w:val="00FE46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46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46A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E46A8"/>
    <w:pPr>
      <w:widowControl/>
      <w:autoSpaceDE/>
      <w:autoSpaceDN/>
      <w:spacing w:after="200"/>
    </w:pPr>
    <w:rPr>
      <w:rFonts w:asciiTheme="minorHAnsi" w:eastAsiaTheme="minorHAnsi" w:hAnsiTheme="minorHAnsi" w:cstheme="minorBidi"/>
      <w:i/>
      <w:iCs/>
      <w:color w:val="1F497D" w:themeColor="text2"/>
      <w:sz w:val="18"/>
      <w:szCs w:val="18"/>
    </w:rPr>
  </w:style>
  <w:style w:type="table" w:customStyle="1" w:styleId="TableGrid3">
    <w:name w:val="Table Grid3"/>
    <w:basedOn w:val="TableNormal"/>
    <w:next w:val="TableGrid"/>
    <w:uiPriority w:val="59"/>
    <w:rsid w:val="00B14C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4C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4CE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7BAF"/>
    <w:rPr>
      <w:color w:val="0000FF" w:themeColor="hyperlink"/>
      <w:u w:val="single"/>
    </w:rPr>
  </w:style>
  <w:style w:type="character" w:customStyle="1" w:styleId="y0nh2b">
    <w:name w:val="y0nh2b"/>
    <w:rsid w:val="00FE16AE"/>
  </w:style>
  <w:style w:type="character" w:customStyle="1" w:styleId="EndNoteBibliographyChar">
    <w:name w:val="EndNote Bibliography Char"/>
    <w:link w:val="EndNoteBibliography"/>
    <w:locked/>
    <w:rsid w:val="009C031F"/>
    <w:rPr>
      <w:rFonts w:ascii="Calibri" w:hAnsi="Calibri" w:cs="Calibri"/>
      <w:noProof/>
    </w:rPr>
  </w:style>
  <w:style w:type="paragraph" w:customStyle="1" w:styleId="EndNoteBibliography">
    <w:name w:val="EndNote Bibliography"/>
    <w:basedOn w:val="Normal"/>
    <w:link w:val="EndNoteBibliographyChar"/>
    <w:rsid w:val="009C031F"/>
    <w:pPr>
      <w:widowControl/>
      <w:autoSpaceDE/>
      <w:autoSpaceDN/>
      <w:spacing w:after="200"/>
    </w:pPr>
    <w:rPr>
      <w:rFonts w:ascii="Calibri" w:eastAsiaTheme="minorHAns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9968">
      <w:bodyDiv w:val="1"/>
      <w:marLeft w:val="0"/>
      <w:marRight w:val="0"/>
      <w:marTop w:val="0"/>
      <w:marBottom w:val="0"/>
      <w:divBdr>
        <w:top w:val="none" w:sz="0" w:space="0" w:color="auto"/>
        <w:left w:val="none" w:sz="0" w:space="0" w:color="auto"/>
        <w:bottom w:val="none" w:sz="0" w:space="0" w:color="auto"/>
        <w:right w:val="none" w:sz="0" w:space="0" w:color="auto"/>
      </w:divBdr>
    </w:div>
    <w:div w:id="487089758">
      <w:bodyDiv w:val="1"/>
      <w:marLeft w:val="0"/>
      <w:marRight w:val="0"/>
      <w:marTop w:val="0"/>
      <w:marBottom w:val="0"/>
      <w:divBdr>
        <w:top w:val="none" w:sz="0" w:space="0" w:color="auto"/>
        <w:left w:val="none" w:sz="0" w:space="0" w:color="auto"/>
        <w:bottom w:val="none" w:sz="0" w:space="0" w:color="auto"/>
        <w:right w:val="none" w:sz="0" w:space="0" w:color="auto"/>
      </w:divBdr>
    </w:div>
    <w:div w:id="911234948">
      <w:bodyDiv w:val="1"/>
      <w:marLeft w:val="0"/>
      <w:marRight w:val="0"/>
      <w:marTop w:val="0"/>
      <w:marBottom w:val="0"/>
      <w:divBdr>
        <w:top w:val="none" w:sz="0" w:space="0" w:color="auto"/>
        <w:left w:val="none" w:sz="0" w:space="0" w:color="auto"/>
        <w:bottom w:val="none" w:sz="0" w:space="0" w:color="auto"/>
        <w:right w:val="none" w:sz="0" w:space="0" w:color="auto"/>
      </w:divBdr>
    </w:div>
    <w:div w:id="915892859">
      <w:bodyDiv w:val="1"/>
      <w:marLeft w:val="0"/>
      <w:marRight w:val="0"/>
      <w:marTop w:val="0"/>
      <w:marBottom w:val="0"/>
      <w:divBdr>
        <w:top w:val="none" w:sz="0" w:space="0" w:color="auto"/>
        <w:left w:val="none" w:sz="0" w:space="0" w:color="auto"/>
        <w:bottom w:val="none" w:sz="0" w:space="0" w:color="auto"/>
        <w:right w:val="none" w:sz="0" w:space="0" w:color="auto"/>
      </w:divBdr>
    </w:div>
    <w:div w:id="979848378">
      <w:bodyDiv w:val="1"/>
      <w:marLeft w:val="0"/>
      <w:marRight w:val="0"/>
      <w:marTop w:val="0"/>
      <w:marBottom w:val="0"/>
      <w:divBdr>
        <w:top w:val="none" w:sz="0" w:space="0" w:color="auto"/>
        <w:left w:val="none" w:sz="0" w:space="0" w:color="auto"/>
        <w:bottom w:val="none" w:sz="0" w:space="0" w:color="auto"/>
        <w:right w:val="none" w:sz="0" w:space="0" w:color="auto"/>
      </w:divBdr>
    </w:div>
    <w:div w:id="1188373814">
      <w:bodyDiv w:val="1"/>
      <w:marLeft w:val="0"/>
      <w:marRight w:val="0"/>
      <w:marTop w:val="0"/>
      <w:marBottom w:val="0"/>
      <w:divBdr>
        <w:top w:val="none" w:sz="0" w:space="0" w:color="auto"/>
        <w:left w:val="none" w:sz="0" w:space="0" w:color="auto"/>
        <w:bottom w:val="none" w:sz="0" w:space="0" w:color="auto"/>
        <w:right w:val="none" w:sz="0" w:space="0" w:color="auto"/>
      </w:divBdr>
    </w:div>
    <w:div w:id="1500000434">
      <w:bodyDiv w:val="1"/>
      <w:marLeft w:val="0"/>
      <w:marRight w:val="0"/>
      <w:marTop w:val="0"/>
      <w:marBottom w:val="0"/>
      <w:divBdr>
        <w:top w:val="none" w:sz="0" w:space="0" w:color="auto"/>
        <w:left w:val="none" w:sz="0" w:space="0" w:color="auto"/>
        <w:bottom w:val="none" w:sz="0" w:space="0" w:color="auto"/>
        <w:right w:val="none" w:sz="0" w:space="0" w:color="auto"/>
      </w:divBdr>
    </w:div>
    <w:div w:id="2036733056">
      <w:bodyDiv w:val="1"/>
      <w:marLeft w:val="0"/>
      <w:marRight w:val="0"/>
      <w:marTop w:val="0"/>
      <w:marBottom w:val="0"/>
      <w:divBdr>
        <w:top w:val="none" w:sz="0" w:space="0" w:color="auto"/>
        <w:left w:val="none" w:sz="0" w:space="0" w:color="auto"/>
        <w:bottom w:val="none" w:sz="0" w:space="0" w:color="auto"/>
        <w:right w:val="none" w:sz="0" w:space="0" w:color="auto"/>
      </w:divBdr>
    </w:div>
    <w:div w:id="2142575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FREELANCE\layoutig\Hasan,%20Multiple%20Network.docx" TargetMode="External"/><Relationship Id="rId18" Type="http://schemas.openxmlformats.org/officeDocument/2006/relationships/hyperlink" Target="file:///D:\FREELANCE\layoutig\Hasan,%20Multiple%20Network.docx" TargetMode="External"/><Relationship Id="rId26" Type="http://schemas.openxmlformats.org/officeDocument/2006/relationships/hyperlink" Target="file:///D:\FREELANCE\layoutig\Hasan,%20Multiple%20Network.docx" TargetMode="External"/><Relationship Id="rId3" Type="http://schemas.openxmlformats.org/officeDocument/2006/relationships/styles" Target="styles.xml"/><Relationship Id="rId21" Type="http://schemas.openxmlformats.org/officeDocument/2006/relationships/hyperlink" Target="file:///D:\FREELANCE\layoutig\Hasan,%20Multiple%20Network.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FREELANCE\layoutig\Hasan,%20Multiple%20Network.docx" TargetMode="External"/><Relationship Id="rId17" Type="http://schemas.openxmlformats.org/officeDocument/2006/relationships/hyperlink" Target="file:///D:\FREELANCE\layoutig\Hasan,%20Multiple%20Network.docx" TargetMode="External"/><Relationship Id="rId25" Type="http://schemas.openxmlformats.org/officeDocument/2006/relationships/hyperlink" Target="file:///D:\FREELANCE\layoutig\Hasan,%20Multiple%20Network.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FREELANCE\layoutig\Hasan,%20Multiple%20Network.docx" TargetMode="External"/><Relationship Id="rId20" Type="http://schemas.openxmlformats.org/officeDocument/2006/relationships/hyperlink" Target="file:///D:\FREELANCE\layoutig\Hasan,%20Multiple%20Network.docx" TargetMode="External"/><Relationship Id="rId29" Type="http://schemas.openxmlformats.org/officeDocument/2006/relationships/hyperlink" Target="file:///D:\FREELANCE\layoutig\Hasan,%20Multiple%20Network.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FREELANCE\layoutig\Hasan,%20Multiple%20Network.docx" TargetMode="External"/><Relationship Id="rId24" Type="http://schemas.openxmlformats.org/officeDocument/2006/relationships/hyperlink" Target="file:///D:\FREELANCE\layoutig\Hasan,%20Multiple%20Network.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FREELANCE\layoutig\Hasan,%20Multiple%20Network.docx" TargetMode="External"/><Relationship Id="rId23" Type="http://schemas.openxmlformats.org/officeDocument/2006/relationships/hyperlink" Target="file:///D:\FREELANCE\layoutig\Hasan,%20Multiple%20Network.docx" TargetMode="External"/><Relationship Id="rId28" Type="http://schemas.openxmlformats.org/officeDocument/2006/relationships/hyperlink" Target="file:///D:\FREELANCE\layoutig\Hasan,%20Multiple%20Network.docx" TargetMode="External"/><Relationship Id="rId10" Type="http://schemas.openxmlformats.org/officeDocument/2006/relationships/hyperlink" Target="file:///D:\FREELANCE\layoutig\Hasan,%20Multiple%20Network.docx" TargetMode="External"/><Relationship Id="rId19" Type="http://schemas.openxmlformats.org/officeDocument/2006/relationships/hyperlink" Target="file:///D:\FREELANCE\layoutig\Hasan,%20Multiple%20Network.docx" TargetMode="External"/><Relationship Id="rId31" Type="http://schemas.openxmlformats.org/officeDocument/2006/relationships/hyperlink" Target="file:///D:\FREELANCE\layoutig\Hasan,%20Multiple%20Network.docx" TargetMode="External"/><Relationship Id="rId4" Type="http://schemas.openxmlformats.org/officeDocument/2006/relationships/settings" Target="settings.xml"/><Relationship Id="rId9" Type="http://schemas.openxmlformats.org/officeDocument/2006/relationships/hyperlink" Target="file:///D:\FREELANCE\layoutig\Hasan,%20Multiple%20Network.docx" TargetMode="External"/><Relationship Id="rId14" Type="http://schemas.openxmlformats.org/officeDocument/2006/relationships/hyperlink" Target="file:///D:\FREELANCE\layoutig\Hasan,%20Multiple%20Network.docx" TargetMode="External"/><Relationship Id="rId22" Type="http://schemas.openxmlformats.org/officeDocument/2006/relationships/hyperlink" Target="file:///D:\FREELANCE\layoutig\Hasan,%20Multiple%20Network.docx" TargetMode="External"/><Relationship Id="rId27" Type="http://schemas.openxmlformats.org/officeDocument/2006/relationships/hyperlink" Target="file:///D:\FREELANCE\layoutig\Hasan,%20Multiple%20Network.docx" TargetMode="External"/><Relationship Id="rId30" Type="http://schemas.openxmlformats.org/officeDocument/2006/relationships/hyperlink" Target="file:///D:\FREELANCE\layoutig\Hasan,%20Multiple%20Network.doc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FEC4-DEC5-469A-AAA2-52969D5C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6951</Words>
  <Characters>39625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Hilya Ramadhania Siyauqi Maudah</dc:creator>
  <cp:lastModifiedBy>HP 14s</cp:lastModifiedBy>
  <cp:revision>6</cp:revision>
  <dcterms:created xsi:type="dcterms:W3CDTF">2022-06-16T16:46:00Z</dcterms:created>
  <dcterms:modified xsi:type="dcterms:W3CDTF">2022-07-13T02:23:00Z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2013</vt:lpwstr>
  </property>
  <property fmtid="{D5CDD505-2E9C-101B-9397-08002B2CF9AE}" pid="4" name="LastSaved">
    <vt:filetime>2022-06-13T00:00:00Z</vt:filetime>
  </property>
</Properties>
</file>