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0" w:beforeAutospacing="0" w:after="0" w:afterAutospacing="0"/>
        <w:jc w:val="center"/>
        <w:rPr>
          <w:b/>
          <w:sz w:val="22"/>
          <w:szCs w:val="22"/>
        </w:rPr>
      </w:pPr>
      <w:r>
        <w:rPr>
          <w:b/>
          <w:sz w:val="22"/>
          <w:szCs w:val="22"/>
        </w:rPr>
        <w:t>EVALUASI PENTANAHAN KAKI MENARA PADA SALURAN UDARA TEGANGAN TINGGI (SUTT) 150 kV MANINJAU – SIMPANG EMPAT</w:t>
      </w:r>
    </w:p>
    <w:p>
      <w:pPr>
        <w:pStyle w:val="11"/>
        <w:spacing w:before="0" w:beforeAutospacing="0" w:after="0" w:afterAutospacing="0"/>
        <w:jc w:val="center"/>
        <w:rPr>
          <w:b/>
          <w:bCs/>
          <w:color w:val="000000"/>
          <w:lang w:val="id-ID"/>
        </w:rPr>
      </w:pPr>
    </w:p>
    <w:p>
      <w:pPr>
        <w:spacing w:after="0" w:line="240" w:lineRule="auto"/>
        <w:jc w:val="center"/>
        <w:rPr>
          <w:rFonts w:ascii="Times New Roman" w:hAnsi="Times New Roman"/>
          <w:b/>
          <w:sz w:val="22"/>
          <w:szCs w:val="22"/>
        </w:rPr>
      </w:pPr>
      <w:r>
        <w:rPr>
          <w:rFonts w:ascii="Times New Roman" w:hAnsi="Times New Roman"/>
          <w:b/>
          <w:sz w:val="22"/>
          <w:szCs w:val="22"/>
        </w:rPr>
        <w:t>Nia Aulia Putri</w:t>
      </w:r>
      <w:r>
        <w:rPr>
          <w:rFonts w:ascii="Times New Roman" w:hAnsi="Times New Roman"/>
          <w:b/>
          <w:sz w:val="22"/>
          <w:szCs w:val="22"/>
          <w:vertAlign w:val="superscript"/>
        </w:rPr>
        <w:t>1)</w:t>
      </w:r>
      <w:r>
        <w:rPr>
          <w:rFonts w:ascii="Times New Roman" w:hAnsi="Times New Roman"/>
          <w:b/>
          <w:sz w:val="22"/>
          <w:szCs w:val="22"/>
        </w:rPr>
        <w:t>, Penulis2</w:t>
      </w:r>
      <w:r>
        <w:rPr>
          <w:rFonts w:ascii="Times New Roman" w:hAnsi="Times New Roman"/>
          <w:b/>
          <w:sz w:val="22"/>
          <w:szCs w:val="22"/>
          <w:vertAlign w:val="superscript"/>
        </w:rPr>
        <w:t>2)</w:t>
      </w:r>
    </w:p>
    <w:p>
      <w:pPr>
        <w:spacing w:after="0" w:line="240" w:lineRule="auto"/>
        <w:jc w:val="center"/>
        <w:rPr>
          <w:rFonts w:ascii="Times New Roman" w:hAnsi="Times New Roman"/>
          <w:sz w:val="22"/>
          <w:szCs w:val="22"/>
        </w:rPr>
      </w:pPr>
      <w:r>
        <w:rPr>
          <w:rFonts w:ascii="Times New Roman" w:hAnsi="Times New Roman"/>
          <w:sz w:val="22"/>
          <w:szCs w:val="22"/>
          <w:vertAlign w:val="superscript"/>
        </w:rPr>
        <w:t>1</w:t>
      </w:r>
      <w:r>
        <w:rPr>
          <w:rFonts w:ascii="Times New Roman" w:hAnsi="Times New Roman"/>
          <w:sz w:val="22"/>
          <w:szCs w:val="22"/>
          <w:vertAlign w:val="superscript"/>
          <w:lang w:val="en-US"/>
        </w:rPr>
        <w:t>23</w:t>
      </w:r>
      <w:r>
        <w:rPr>
          <w:rFonts w:ascii="Times New Roman" w:hAnsi="Times New Roman"/>
          <w:sz w:val="22"/>
          <w:szCs w:val="22"/>
        </w:rPr>
        <w:t>Fakultas Teknik, Institut Teknologi Padang</w:t>
      </w:r>
    </w:p>
    <w:p>
      <w:pPr>
        <w:pStyle w:val="21"/>
        <w:rPr>
          <w:rFonts w:hint="default" w:ascii="Times New Roman" w:hAnsi="Times New Roman"/>
          <w:sz w:val="22"/>
          <w:szCs w:val="22"/>
          <w:lang w:val="en-US"/>
        </w:rPr>
      </w:pPr>
      <w:r>
        <w:rPr>
          <w:rFonts w:ascii="Times New Roman" w:hAnsi="Times New Roman"/>
          <w:sz w:val="22"/>
          <w:szCs w:val="22"/>
        </w:rPr>
        <w:t xml:space="preserve">email: </w:t>
      </w:r>
      <w:r>
        <w:rPr>
          <w:rFonts w:hint="default" w:ascii="Times New Roman" w:hAnsi="Times New Roman"/>
          <w:sz w:val="22"/>
          <w:szCs w:val="22"/>
          <w:lang w:val="en-US"/>
        </w:rPr>
        <w:t>2020310068.nia@</w:t>
      </w:r>
      <w:bookmarkStart w:id="0" w:name="_GoBack"/>
      <w:bookmarkEnd w:id="0"/>
      <w:r>
        <w:rPr>
          <w:rFonts w:hint="default" w:ascii="Times New Roman" w:hAnsi="Times New Roman"/>
          <w:sz w:val="22"/>
          <w:szCs w:val="22"/>
          <w:lang w:val="en-US"/>
        </w:rPr>
        <w:t>itp.ac.id</w:t>
      </w:r>
    </w:p>
    <w:p>
      <w:pPr>
        <w:spacing w:after="0" w:line="240" w:lineRule="auto"/>
        <w:jc w:val="center"/>
        <w:rPr>
          <w:rFonts w:ascii="Times New Roman" w:hAnsi="Times New Roman"/>
          <w:color w:val="000000"/>
          <w:sz w:val="24"/>
          <w:szCs w:val="24"/>
        </w:rPr>
      </w:pPr>
    </w:p>
    <w:p>
      <w:pPr>
        <w:spacing w:after="0" w:line="240" w:lineRule="auto"/>
        <w:jc w:val="center"/>
        <w:rPr>
          <w:rFonts w:ascii="Times New Roman" w:hAnsi="Times New Roman"/>
          <w:b/>
          <w:lang w:val="en-US"/>
        </w:rPr>
      </w:pPr>
      <w:r>
        <w:rPr>
          <w:rFonts w:ascii="Times New Roman" w:hAnsi="Times New Roman"/>
          <w:b/>
          <w:sz w:val="20"/>
          <w:szCs w:val="20"/>
        </w:rPr>
        <w:t>Abstra</w:t>
      </w:r>
      <w:r>
        <w:rPr>
          <w:rFonts w:ascii="Times New Roman" w:hAnsi="Times New Roman"/>
          <w:b/>
          <w:sz w:val="20"/>
          <w:szCs w:val="20"/>
          <w:lang w:val="en-US"/>
        </w:rPr>
        <w:t>k</w:t>
      </w:r>
    </w:p>
    <w:p>
      <w:pPr>
        <w:autoSpaceDE w:val="0"/>
        <w:spacing w:after="0" w:line="240" w:lineRule="auto"/>
        <w:ind w:right="14"/>
        <w:jc w:val="both"/>
        <w:rPr>
          <w:rFonts w:ascii="Times New Roman" w:hAnsi="Times New Roman"/>
          <w:i/>
          <w:iCs/>
          <w:sz w:val="20"/>
          <w:szCs w:val="20"/>
          <w:lang w:val="en-US"/>
        </w:rPr>
      </w:pPr>
      <w:r>
        <w:rPr>
          <w:rFonts w:ascii="Times New Roman" w:hAnsi="Times New Roman"/>
          <w:i/>
          <w:iCs/>
          <w:sz w:val="20"/>
          <w:szCs w:val="20"/>
          <w:lang w:val="zh-CN"/>
        </w:rPr>
        <w:t xml:space="preserve">Tujuan penelitian ini adalah untuk </w:t>
      </w:r>
      <w:r>
        <w:rPr>
          <w:rFonts w:ascii="Times New Roman" w:hAnsi="Times New Roman"/>
          <w:i/>
          <w:iCs/>
          <w:sz w:val="20"/>
          <w:szCs w:val="20"/>
          <w:lang w:val="id"/>
        </w:rPr>
        <w:t>mengetahui kondisi tahanan pentanahan pada beberapa menara yang terdapat di Saluran Udara Tegangan Tinggi (SUTT) 150 kV Maninjau-Simpang Empat, dan merumuskan upaya perbaikan nilai tahanan pentanahan kaki menaranya. Penelitian ini merupakan penelitian kualitatif dengan pendekatan metode survei. Penelitian dilakukan di sepanjang tower Saluran Udara Tegangan Tinggi (SUTT) 150 kV Maninjau-Simpang Empat. Data yang digunakan dalam penelitian ini adalah data primer, berupa data tower pada SUTT 150 kV Maninjau-Simpang Empat, data nilai pentanahan sebelum perbaikan, dan data nilai pentanahan setelah perbaikan. Teknik pengumpulan data dilakukan dengan studi lapangan, meliputi kegiatan observasi dan wawancara. Metode analisis yang digunakan dalam penelitian ini yaitu dengan mengevaluasi pengaruh elektroda yang dipasang satu batang (Single Rod) dengan elektroda yang dipasang secara paralel (Multiple Rod) terhadap nilai tahanan pentanahan pada SUTT 150 kV Maninjau-Simpang Empat. Hasil penelitian menunjukkan bahwa kondisi tahanan pentanahan pada 11 menara memiliki data pentanahan dengan nilai yang relatif tinggi dan melebihi nilai tahanan yang diizinkan (&lt;5 Ω). Upaya yang dilakukan untuk perbaikan nilai tahanan pentanahan yaitu dengan pemasangan elektroda batang secara paralel sebanyak 3 buah elektroda (Multiple Rod). Instalasi tahanan pentanahan di lapangan dilakukan pada kedalaman 2 meter dengan jarak antar elektroda 2 meter. Dapat disimpulkan bahwa semakin dalam elektroda diketanahkan dan semakin jauh jarak antar elektroda maka nilai tahanan pentanahan akan semakin kecil</w:t>
      </w:r>
      <w:r>
        <w:rPr>
          <w:rFonts w:ascii="Times New Roman" w:hAnsi="Times New Roman"/>
          <w:i/>
          <w:iCs/>
          <w:sz w:val="20"/>
          <w:szCs w:val="20"/>
          <w:lang w:val="en-US"/>
        </w:rPr>
        <w:t>.</w:t>
      </w:r>
    </w:p>
    <w:p>
      <w:pPr>
        <w:autoSpaceDE w:val="0"/>
        <w:spacing w:after="0" w:line="240" w:lineRule="auto"/>
        <w:ind w:right="14"/>
        <w:jc w:val="both"/>
        <w:rPr>
          <w:rFonts w:ascii="Times New Roman" w:hAnsi="Times New Roman"/>
          <w:lang w:val="en-US"/>
        </w:rPr>
      </w:pPr>
    </w:p>
    <w:p>
      <w:pPr>
        <w:autoSpaceDE w:val="0"/>
        <w:spacing w:after="0" w:line="240" w:lineRule="auto"/>
        <w:ind w:left="1080" w:right="14" w:hanging="1080"/>
        <w:jc w:val="both"/>
        <w:rPr>
          <w:rFonts w:ascii="Times New Roman" w:hAnsi="Times New Roman"/>
          <w:i/>
          <w:iCs/>
          <w:sz w:val="20"/>
          <w:szCs w:val="20"/>
        </w:rPr>
      </w:pPr>
      <w:r>
        <w:rPr>
          <w:rFonts w:ascii="Times New Roman" w:hAnsi="Times New Roman"/>
          <w:b/>
          <w:i/>
          <w:iCs/>
          <w:sz w:val="20"/>
          <w:szCs w:val="20"/>
          <w:lang w:val="en-US"/>
        </w:rPr>
        <w:t>Kata kunci</w:t>
      </w:r>
      <w:r>
        <w:rPr>
          <w:rFonts w:ascii="Times New Roman" w:hAnsi="Times New Roman"/>
          <w:b/>
          <w:i/>
          <w:iCs/>
          <w:sz w:val="20"/>
          <w:szCs w:val="20"/>
        </w:rPr>
        <w:t xml:space="preserve">: </w:t>
      </w:r>
      <w:r>
        <w:rPr>
          <w:rFonts w:ascii="Times New Roman" w:hAnsi="Times New Roman"/>
          <w:i/>
          <w:iCs/>
          <w:sz w:val="20"/>
          <w:szCs w:val="20"/>
          <w:lang w:val="id"/>
        </w:rPr>
        <w:t>pentanahan, nilai tahanan, saluran udara tegangan tinggi (SUTT) 150 Kv</w:t>
      </w:r>
    </w:p>
    <w:p>
      <w:pPr>
        <w:autoSpaceDE w:val="0"/>
        <w:spacing w:after="0" w:line="240" w:lineRule="auto"/>
        <w:ind w:left="1080" w:right="14" w:hanging="1080"/>
        <w:jc w:val="both"/>
        <w:rPr>
          <w:rFonts w:ascii="Times New Roman" w:hAnsi="Times New Roman"/>
        </w:rPr>
      </w:pPr>
    </w:p>
    <w:p>
      <w:pPr>
        <w:autoSpaceDE w:val="0"/>
        <w:spacing w:after="0" w:line="240" w:lineRule="auto"/>
        <w:ind w:left="1080" w:right="14" w:hanging="1080"/>
        <w:jc w:val="both"/>
        <w:rPr>
          <w:rFonts w:ascii="Times New Roman" w:hAnsi="Times New Roman"/>
        </w:rPr>
      </w:pPr>
    </w:p>
    <w:p>
      <w:pPr>
        <w:pStyle w:val="2"/>
        <w:numPr>
          <w:ilvl w:val="0"/>
          <w:numId w:val="1"/>
        </w:numPr>
        <w:suppressAutoHyphens/>
        <w:rPr>
          <w:i w:val="0"/>
          <w:sz w:val="22"/>
          <w:szCs w:val="22"/>
        </w:rPr>
      </w:pPr>
      <w:r>
        <w:rPr>
          <w:i w:val="0"/>
          <w:color w:val="000000"/>
          <w:sz w:val="22"/>
          <w:szCs w:val="22"/>
        </w:rPr>
        <w:t>PENDAHULUAN</w:t>
      </w:r>
    </w:p>
    <w:p>
      <w:pPr>
        <w:pStyle w:val="14"/>
        <w:autoSpaceDE w:val="0"/>
        <w:autoSpaceDN w:val="0"/>
        <w:adjustRightInd w:val="0"/>
        <w:spacing w:after="0" w:line="240" w:lineRule="auto"/>
        <w:ind w:left="0" w:firstLine="450"/>
        <w:jc w:val="both"/>
        <w:rPr>
          <w:rFonts w:ascii="Times New Roman" w:hAnsi="Times New Roman"/>
          <w:sz w:val="22"/>
          <w:szCs w:val="22"/>
        </w:rPr>
      </w:pPr>
      <w:r>
        <w:rPr>
          <w:rStyle w:val="24"/>
          <w:rFonts w:ascii="Times New Roman" w:hAnsi="Times New Roman"/>
          <w:sz w:val="22"/>
          <w:szCs w:val="22"/>
        </w:rPr>
        <w:t>Saluran transmisi SUTT 150 kV adalah komponen yang sangat penting dalam dunia kelistrikan, sehingga harus mampu menjamin ketersediaan energi listrik pada setiap beban yang terhubung dengan sistem. Akan tetapi, saluran</w:t>
      </w:r>
      <w:r>
        <w:rPr>
          <w:rFonts w:ascii="Times New Roman" w:hAnsi="Times New Roman"/>
          <w:sz w:val="22"/>
          <w:szCs w:val="22"/>
        </w:rPr>
        <w:t xml:space="preserve"> </w:t>
      </w:r>
      <w:r>
        <w:rPr>
          <w:rStyle w:val="24"/>
          <w:rFonts w:ascii="Times New Roman" w:hAnsi="Times New Roman"/>
          <w:sz w:val="22"/>
          <w:szCs w:val="22"/>
        </w:rPr>
        <w:t>transmisi merupakan bagian yang sering mendapat gangguan, baik yang berasal dari dalam atau pada peralatan itu sendiri, maupun dari luar atau gangguan</w:t>
      </w:r>
      <w:r>
        <w:rPr>
          <w:rFonts w:ascii="Times New Roman" w:hAnsi="Times New Roman"/>
          <w:sz w:val="22"/>
          <w:szCs w:val="22"/>
        </w:rPr>
        <w:t xml:space="preserve"> </w:t>
      </w:r>
      <w:r>
        <w:rPr>
          <w:rStyle w:val="24"/>
          <w:rFonts w:ascii="Times New Roman" w:hAnsi="Times New Roman"/>
          <w:sz w:val="22"/>
          <w:szCs w:val="22"/>
        </w:rPr>
        <w:t xml:space="preserve">alam. Salah satu gangguan dari luar yaitu sambaran petir. </w:t>
      </w:r>
      <w:r>
        <w:rPr>
          <w:rFonts w:ascii="Times New Roman" w:hAnsi="Times New Roman"/>
          <w:sz w:val="22"/>
          <w:szCs w:val="22"/>
        </w:rPr>
        <w:t>Apalagi Indonesia sebagai negara di wilayah tropis yang mempunyai angka terjadinya petir cukup tinggi, dengan aktivitas 100 sampai 200 hari guruh per tahun [1]. Oleh karena itu perlu adanya sistem untuk melindungi saluran transmisi tersebut dari sambaran petir. Untuk menghindari/ meminimalisir terjadinya kerusakan pada saluran transmisi, maka harus ada media untuk melindungi penghantar/saluran tersebut, yaitu dengan kawat tanah yang dipasang sepanjang SUTT 150 kV, dan terhubung langsung dengan tower yang di</w:t>
      </w:r>
      <w:r>
        <w:rPr>
          <w:rFonts w:ascii="Times New Roman" w:hAnsi="Times New Roman"/>
          <w:i/>
          <w:iCs/>
          <w:sz w:val="22"/>
          <w:szCs w:val="22"/>
        </w:rPr>
        <w:t>grounding</w:t>
      </w:r>
      <w:r>
        <w:rPr>
          <w:rFonts w:ascii="Times New Roman" w:hAnsi="Times New Roman"/>
          <w:sz w:val="22"/>
          <w:szCs w:val="22"/>
        </w:rPr>
        <w:t xml:space="preserve"> (diketanahkan). </w:t>
      </w:r>
    </w:p>
    <w:p>
      <w:pPr>
        <w:pStyle w:val="14"/>
        <w:autoSpaceDE w:val="0"/>
        <w:autoSpaceDN w:val="0"/>
        <w:adjustRightInd w:val="0"/>
        <w:spacing w:after="0" w:line="240" w:lineRule="auto"/>
        <w:ind w:left="0" w:firstLine="450"/>
        <w:jc w:val="both"/>
        <w:rPr>
          <w:rFonts w:ascii="Times New Roman" w:hAnsi="Times New Roman"/>
          <w:sz w:val="22"/>
          <w:szCs w:val="22"/>
        </w:rPr>
      </w:pPr>
      <w:r>
        <w:rPr>
          <w:rStyle w:val="24"/>
          <w:rFonts w:ascii="Times New Roman" w:hAnsi="Times New Roman"/>
          <w:sz w:val="22"/>
          <w:szCs w:val="22"/>
        </w:rPr>
        <w:t xml:space="preserve">Pentanahan merupakan sistem yang biasa digunakan </w:t>
      </w:r>
      <w:r>
        <w:rPr>
          <w:rFonts w:ascii="Times New Roman" w:hAnsi="Times New Roman"/>
          <w:sz w:val="22"/>
          <w:szCs w:val="22"/>
        </w:rPr>
        <w:t xml:space="preserve">untuk </w:t>
      </w:r>
      <w:r>
        <w:rPr>
          <w:rStyle w:val="24"/>
          <w:rFonts w:ascii="Times New Roman" w:hAnsi="Times New Roman"/>
          <w:sz w:val="22"/>
          <w:szCs w:val="22"/>
        </w:rPr>
        <w:t>mengamankan peralatan-peralatan listrik maupun manusia terhadap gangguan yang terjadi pada sistem tenaga listrik</w:t>
      </w:r>
      <w:r>
        <w:rPr>
          <w:rFonts w:ascii="Times New Roman" w:hAnsi="Times New Roman"/>
          <w:sz w:val="22"/>
          <w:szCs w:val="22"/>
        </w:rPr>
        <w:t>. Besarnya tahanan pentanahan harus sesuai dengan ketentuan yang diizinkan yaitu &lt;5 Ω [</w:t>
      </w:r>
      <w:r>
        <w:rPr>
          <w:rFonts w:hint="default" w:ascii="Times New Roman" w:hAnsi="Times New Roman"/>
          <w:sz w:val="22"/>
          <w:szCs w:val="22"/>
          <w:lang w:val="en-US"/>
        </w:rPr>
        <w:t>2</w:t>
      </w:r>
      <w:r>
        <w:rPr>
          <w:rFonts w:ascii="Times New Roman" w:hAnsi="Times New Roman"/>
          <w:sz w:val="22"/>
          <w:szCs w:val="22"/>
        </w:rPr>
        <w:t xml:space="preserve">], sehingga dapat menjamin keandalan sistem bila terjadi tegangan lebih akibat sambaran petir. </w:t>
      </w:r>
    </w:p>
    <w:p>
      <w:pPr>
        <w:pStyle w:val="25"/>
        <w:ind w:firstLine="450"/>
        <w:jc w:val="both"/>
        <w:rPr>
          <w:sz w:val="22"/>
          <w:szCs w:val="22"/>
        </w:rPr>
      </w:pPr>
      <w:r>
        <w:rPr>
          <w:sz w:val="22"/>
          <w:szCs w:val="22"/>
        </w:rPr>
        <w:t>Salah satu wilayah yang menjadi fokus dari PT. PLN (Persero) khususnya ULTG Bukittinggi yang bergerak dalam bidang proteksi dan pentanahan adalah pada jalur transmisi Maninjau – Simpang Empat, dimana setelah dilakukan observasi oleh tim terkait, ditemukan banyak dari nilai tahanan pentanahan yang sudah tidak sesuai dengan standar yang telah ditetapkan atau melebihi dari 5 Ω [3]. Untuk mengurangi resiko terjadinya bahaya akibat sambaran petir, maka dilakukan perbaikan dan instalasi ulang pada pentanahan kaki menara.</w:t>
      </w:r>
    </w:p>
    <w:p>
      <w:pPr>
        <w:pStyle w:val="14"/>
        <w:autoSpaceDE w:val="0"/>
        <w:autoSpaceDN w:val="0"/>
        <w:adjustRightInd w:val="0"/>
        <w:spacing w:after="0" w:line="240" w:lineRule="auto"/>
        <w:ind w:left="0" w:firstLine="450"/>
        <w:jc w:val="both"/>
        <w:rPr>
          <w:rFonts w:ascii="Times New Roman" w:hAnsi="Times New Roman"/>
          <w:sz w:val="22"/>
          <w:szCs w:val="22"/>
        </w:rPr>
      </w:pPr>
      <w:r>
        <w:rPr>
          <w:rFonts w:ascii="Times New Roman" w:hAnsi="Times New Roman"/>
          <w:sz w:val="22"/>
          <w:szCs w:val="22"/>
        </w:rPr>
        <w:t xml:space="preserve">Sebagaimana diketahui, nilai tahanan pentanahan juga tergantung pada jenis tanah, kelembaban tanah, dan juga kandungan garam dari tanah. Dalam waktu tertentu nilai dari tahanan pentanahan dapat berubah sesuai dengan perubahan tahanan jenis tanah. Maka dari itu perlu dilakukan </w:t>
      </w:r>
      <w:r>
        <w:rPr>
          <w:rFonts w:ascii="Times New Roman" w:hAnsi="Times New Roman"/>
          <w:i/>
          <w:iCs/>
          <w:sz w:val="22"/>
          <w:szCs w:val="22"/>
        </w:rPr>
        <w:t>maintenance</w:t>
      </w:r>
      <w:r>
        <w:rPr>
          <w:rFonts w:ascii="Times New Roman" w:hAnsi="Times New Roman"/>
          <w:sz w:val="22"/>
          <w:szCs w:val="22"/>
        </w:rPr>
        <w:t xml:space="preserve"> terhadap pentanahan menara transmisi secara berkala, misalnya 6 bulan sekali. Jika nilai tahanan pentanahan sudah melebihi dari ketentuan yang diizinkan, maka perlu dilakukan perbaikan dengan cara instalasi ulang pentanahan. Dimana pada menara-menara yang terdapat pada saluran transmisi 150 kV dilakukan penanaman sebanyak 3 buah batang elektroda yang dipasang secara paralel (</w:t>
      </w:r>
      <w:r>
        <w:rPr>
          <w:rFonts w:ascii="Times New Roman" w:hAnsi="Times New Roman"/>
          <w:i/>
          <w:iCs/>
          <w:sz w:val="22"/>
          <w:szCs w:val="22"/>
        </w:rPr>
        <w:t>Multiple Rod</w:t>
      </w:r>
      <w:r>
        <w:rPr>
          <w:rFonts w:ascii="Times New Roman" w:hAnsi="Times New Roman"/>
          <w:sz w:val="22"/>
          <w:szCs w:val="22"/>
        </w:rPr>
        <w:t>), dari sebelumnya yang hanya terdapat 1 batang elektroda pentanahan (</w:t>
      </w:r>
      <w:r>
        <w:rPr>
          <w:rFonts w:ascii="Times New Roman" w:hAnsi="Times New Roman"/>
          <w:i/>
          <w:iCs/>
          <w:sz w:val="22"/>
          <w:szCs w:val="22"/>
        </w:rPr>
        <w:t>Single Rod</w:t>
      </w:r>
      <w:r>
        <w:rPr>
          <w:rFonts w:ascii="Times New Roman" w:hAnsi="Times New Roman"/>
          <w:sz w:val="22"/>
          <w:szCs w:val="22"/>
        </w:rPr>
        <w:t xml:space="preserve">). </w:t>
      </w:r>
    </w:p>
    <w:p>
      <w:pPr>
        <w:spacing w:after="0" w:line="240" w:lineRule="auto"/>
        <w:ind w:firstLine="360"/>
        <w:jc w:val="both"/>
        <w:rPr>
          <w:rFonts w:ascii="Times New Roman" w:hAnsi="Times New Roman"/>
          <w:sz w:val="22"/>
          <w:szCs w:val="22"/>
        </w:rPr>
      </w:pPr>
      <w:r>
        <w:rPr>
          <w:rFonts w:ascii="Times New Roman" w:hAnsi="Times New Roman"/>
          <w:sz w:val="22"/>
          <w:szCs w:val="22"/>
        </w:rPr>
        <w:t xml:space="preserve">Dengan adanya kegiatan </w:t>
      </w:r>
      <w:r>
        <w:rPr>
          <w:rFonts w:ascii="Times New Roman" w:hAnsi="Times New Roman"/>
          <w:i/>
          <w:iCs/>
          <w:sz w:val="22"/>
          <w:szCs w:val="22"/>
        </w:rPr>
        <w:t>maintenance</w:t>
      </w:r>
      <w:r>
        <w:rPr>
          <w:rFonts w:ascii="Times New Roman" w:hAnsi="Times New Roman"/>
          <w:sz w:val="22"/>
          <w:szCs w:val="22"/>
        </w:rPr>
        <w:t xml:space="preserve"> dan perbaikan yang dilakukan pada menara SUTT 150 kV wilayah Maninjau-Simpang Empat, penulis</w:t>
      </w:r>
      <w:r>
        <w:rPr>
          <w:rFonts w:hint="default" w:ascii="Times New Roman" w:hAnsi="Times New Roman"/>
          <w:sz w:val="22"/>
          <w:szCs w:val="22"/>
          <w:lang w:val="en-US"/>
        </w:rPr>
        <w:t xml:space="preserve"> </w:t>
      </w:r>
      <w:r>
        <w:rPr>
          <w:rFonts w:ascii="Times New Roman" w:hAnsi="Times New Roman"/>
          <w:sz w:val="22"/>
          <w:szCs w:val="22"/>
        </w:rPr>
        <w:t>berminat untuk melakukan evaluasi tentang sejauh mana perubahan nilai tahanan yang terjadi apabila dilakukan instalasi pentanahan dengan elektroda batang diparalelkan (</w:t>
      </w:r>
      <w:r>
        <w:rPr>
          <w:rFonts w:ascii="Times New Roman" w:hAnsi="Times New Roman"/>
          <w:i/>
          <w:iCs/>
          <w:sz w:val="22"/>
          <w:szCs w:val="22"/>
        </w:rPr>
        <w:t>Multiple Rod</w:t>
      </w:r>
      <w:r>
        <w:rPr>
          <w:rFonts w:ascii="Times New Roman" w:hAnsi="Times New Roman"/>
          <w:sz w:val="22"/>
          <w:szCs w:val="22"/>
        </w:rPr>
        <w:t>).</w:t>
      </w:r>
    </w:p>
    <w:p>
      <w:pPr>
        <w:spacing w:after="0" w:line="240" w:lineRule="auto"/>
        <w:jc w:val="both"/>
        <w:rPr>
          <w:rFonts w:ascii="Times New Roman" w:hAnsi="Times New Roman"/>
          <w:sz w:val="22"/>
          <w:szCs w:val="22"/>
          <w:lang w:val="en-US"/>
        </w:rPr>
      </w:pPr>
    </w:p>
    <w:p>
      <w:pPr>
        <w:pStyle w:val="2"/>
        <w:numPr>
          <w:ilvl w:val="0"/>
          <w:numId w:val="1"/>
        </w:numPr>
        <w:suppressAutoHyphens/>
        <w:ind w:left="0" w:leftChars="0" w:firstLine="0" w:firstLineChars="0"/>
        <w:rPr>
          <w:i w:val="0"/>
          <w:sz w:val="22"/>
          <w:szCs w:val="22"/>
        </w:rPr>
      </w:pPr>
      <w:r>
        <w:rPr>
          <w:i w:val="0"/>
          <w:sz w:val="22"/>
          <w:szCs w:val="22"/>
        </w:rPr>
        <w:t>METOD</w:t>
      </w:r>
      <w:r>
        <w:rPr>
          <w:rFonts w:hint="default"/>
          <w:i w:val="0"/>
          <w:sz w:val="22"/>
          <w:szCs w:val="22"/>
          <w:lang w:val="en-US"/>
        </w:rPr>
        <w:t>OLOGI</w:t>
      </w:r>
    </w:p>
    <w:p>
      <w:pPr>
        <w:spacing w:after="0" w:line="240" w:lineRule="auto"/>
        <w:ind w:firstLine="360"/>
        <w:jc w:val="both"/>
        <w:rPr>
          <w:rFonts w:ascii="Times New Roman" w:hAnsi="Times New Roman"/>
          <w:sz w:val="22"/>
          <w:szCs w:val="22"/>
          <w:lang w:val="en-US"/>
        </w:rPr>
      </w:pPr>
      <w:r>
        <w:rPr>
          <w:rFonts w:ascii="Times New Roman" w:hAnsi="Times New Roman"/>
          <w:sz w:val="22"/>
          <w:szCs w:val="22"/>
        </w:rPr>
        <w:t>Pada tugas akhir ini dilakukan evaluasi pengaruh elektroda yang dipasang satu batang dengan elektroda yang dipasang secara paralel (</w:t>
      </w:r>
      <w:r>
        <w:rPr>
          <w:rFonts w:ascii="Times New Roman" w:hAnsi="Times New Roman"/>
          <w:i/>
          <w:iCs/>
          <w:sz w:val="22"/>
          <w:szCs w:val="22"/>
        </w:rPr>
        <w:t>Multiple Rod</w:t>
      </w:r>
      <w:r>
        <w:rPr>
          <w:rFonts w:ascii="Times New Roman" w:hAnsi="Times New Roman"/>
          <w:sz w:val="22"/>
          <w:szCs w:val="22"/>
        </w:rPr>
        <w:t>) terhadap nilai tahanan pentanahan pada SUTT 150 kV Maninjau-Simpang Empat dari hasil perhitungan (rumus) dan simulasi menggunakan Matlab</w:t>
      </w:r>
      <w:r>
        <w:rPr>
          <w:rFonts w:ascii="Times New Roman" w:hAnsi="Times New Roman"/>
          <w:sz w:val="22"/>
          <w:szCs w:val="22"/>
          <w:lang w:val="en-US"/>
        </w:rPr>
        <w:t>. Penelitian ini dilaksanakan pada bulan Januari - November tahun 2021 disepanjang tower Saluran Udara Tegangan Tinggi (SUTT) 150 kV Maninjau-Simpang Empat.</w:t>
      </w:r>
    </w:p>
    <w:p>
      <w:pPr>
        <w:spacing w:after="0" w:line="240" w:lineRule="auto"/>
        <w:ind w:firstLine="360"/>
        <w:jc w:val="both"/>
        <w:rPr>
          <w:rFonts w:ascii="Times New Roman" w:hAnsi="Times New Roman"/>
          <w:color w:val="000000"/>
          <w:sz w:val="22"/>
          <w:szCs w:val="22"/>
          <w:lang w:val="en-US"/>
        </w:rPr>
      </w:pPr>
      <w:r>
        <w:rPr>
          <w:rFonts w:ascii="Times New Roman" w:hAnsi="Times New Roman"/>
          <w:sz w:val="22"/>
          <w:szCs w:val="22"/>
        </w:rPr>
        <w:t>Penelitian ini merupakan penelitian kualitatif metode survei, dimana informasi mengenai menara didapatkan dari data pentanahan SUTT 150 kV Maninjau-Simpang Empat dan melalui survei/kunjungan langsung</w:t>
      </w:r>
      <w:r>
        <w:rPr>
          <w:rFonts w:ascii="Times New Roman" w:hAnsi="Times New Roman"/>
          <w:sz w:val="22"/>
          <w:szCs w:val="22"/>
          <w:lang w:val="en-US"/>
        </w:rPr>
        <w:t xml:space="preserve">. </w:t>
      </w:r>
      <w:r>
        <w:rPr>
          <w:rFonts w:ascii="Times New Roman" w:hAnsi="Times New Roman"/>
          <w:color w:val="000000"/>
          <w:sz w:val="22"/>
          <w:szCs w:val="22"/>
        </w:rPr>
        <w:t>Dalam penyelesaian tugas akhir ini, beberapa data yang dibutuhkan adalah 1) Data tower pada SUTT 150 kV Maninjau-Simpang Empat; 2) Data nilai pentanahan sebelum perbaikan pada SUTT 150 kV Maninjau-Simpang Empat (</w:t>
      </w:r>
      <w:r>
        <w:rPr>
          <w:rFonts w:ascii="Times New Roman" w:hAnsi="Times New Roman"/>
          <w:i/>
          <w:iCs/>
          <w:color w:val="000000"/>
          <w:sz w:val="22"/>
          <w:szCs w:val="22"/>
        </w:rPr>
        <w:t>Single Rod</w:t>
      </w:r>
      <w:r>
        <w:rPr>
          <w:rFonts w:ascii="Times New Roman" w:hAnsi="Times New Roman"/>
          <w:color w:val="000000"/>
          <w:sz w:val="22"/>
          <w:szCs w:val="22"/>
        </w:rPr>
        <w:t>); 3) Data nilai pentanahan setelah perbaikan pada SUTT 150 kV Maninjau-Simpang Empat (</w:t>
      </w:r>
      <w:r>
        <w:rPr>
          <w:rFonts w:ascii="Times New Roman" w:hAnsi="Times New Roman"/>
          <w:i/>
          <w:iCs/>
          <w:color w:val="000000"/>
          <w:sz w:val="22"/>
          <w:szCs w:val="22"/>
        </w:rPr>
        <w:t>Multiple Rod</w:t>
      </w:r>
      <w:r>
        <w:rPr>
          <w:rFonts w:ascii="Times New Roman" w:hAnsi="Times New Roman"/>
          <w:color w:val="000000"/>
          <w:sz w:val="22"/>
          <w:szCs w:val="22"/>
        </w:rPr>
        <w:t>).</w:t>
      </w:r>
      <w:r>
        <w:rPr>
          <w:rFonts w:ascii="Times New Roman" w:hAnsi="Times New Roman"/>
          <w:color w:val="000000"/>
          <w:sz w:val="22"/>
          <w:szCs w:val="22"/>
          <w:lang w:val="en-US"/>
        </w:rPr>
        <w:t xml:space="preserve"> </w:t>
      </w:r>
      <w:r>
        <w:rPr>
          <w:rFonts w:ascii="Times New Roman" w:hAnsi="Times New Roman"/>
          <w:sz w:val="22"/>
          <w:szCs w:val="22"/>
        </w:rPr>
        <w:t>Studi lapangan</w:t>
      </w:r>
      <w:r>
        <w:rPr>
          <w:rFonts w:ascii="Times New Roman" w:hAnsi="Times New Roman"/>
          <w:color w:val="FFFFFF" w:themeColor="background1"/>
          <w:sz w:val="22"/>
          <w:szCs w:val="22"/>
          <w14:textFill>
            <w14:solidFill>
              <w14:schemeClr w14:val="bg1"/>
            </w14:solidFill>
          </w14:textFill>
        </w:rPr>
        <w:t>.</w:t>
      </w:r>
      <w:r>
        <w:rPr>
          <w:rFonts w:ascii="Times New Roman" w:hAnsi="Times New Roman"/>
          <w:sz w:val="22"/>
          <w:szCs w:val="22"/>
        </w:rPr>
        <w:t>merupakan metode pengumpulan</w:t>
      </w:r>
      <w:r>
        <w:rPr>
          <w:rFonts w:ascii="Times New Roman" w:hAnsi="Times New Roman"/>
          <w:color w:val="FFFFFF" w:themeColor="background1"/>
          <w:sz w:val="22"/>
          <w:szCs w:val="22"/>
          <w14:textFill>
            <w14:solidFill>
              <w14:schemeClr w14:val="bg1"/>
            </w14:solidFill>
          </w14:textFill>
        </w:rPr>
        <w:t>.</w:t>
      </w:r>
      <w:r>
        <w:rPr>
          <w:rFonts w:ascii="Times New Roman" w:hAnsi="Times New Roman"/>
          <w:sz w:val="22"/>
          <w:szCs w:val="22"/>
        </w:rPr>
        <w:t>data secara langsung dari tempat objek penelitian, dimana pengambilan</w:t>
      </w:r>
      <w:r>
        <w:rPr>
          <w:rFonts w:ascii="Times New Roman" w:hAnsi="Times New Roman"/>
          <w:color w:val="FFFFFF" w:themeColor="background1"/>
          <w:sz w:val="22"/>
          <w:szCs w:val="22"/>
          <w14:textFill>
            <w14:solidFill>
              <w14:schemeClr w14:val="bg1"/>
            </w14:solidFill>
          </w14:textFill>
        </w:rPr>
        <w:t>.</w:t>
      </w:r>
      <w:r>
        <w:rPr>
          <w:rFonts w:ascii="Times New Roman" w:hAnsi="Times New Roman"/>
          <w:sz w:val="22"/>
          <w:szCs w:val="22"/>
        </w:rPr>
        <w:t xml:space="preserve">data dilaksanakan </w:t>
      </w:r>
      <w:r>
        <w:rPr>
          <w:rFonts w:ascii="Times New Roman" w:hAnsi="Times New Roman"/>
          <w:sz w:val="22"/>
          <w:szCs w:val="22"/>
          <w:lang w:val="en-US"/>
        </w:rPr>
        <w:t>melalui observasi dan wawancara.</w:t>
      </w:r>
    </w:p>
    <w:p>
      <w:pPr>
        <w:spacing w:after="0" w:line="240" w:lineRule="auto"/>
        <w:jc w:val="both"/>
        <w:rPr>
          <w:rFonts w:ascii="Times New Roman" w:hAnsi="Times New Roman"/>
          <w:sz w:val="22"/>
          <w:szCs w:val="22"/>
          <w:lang w:val="en-US"/>
        </w:rPr>
      </w:pPr>
    </w:p>
    <w:p>
      <w:pPr>
        <w:pStyle w:val="2"/>
        <w:numPr>
          <w:ilvl w:val="0"/>
          <w:numId w:val="1"/>
        </w:numPr>
        <w:suppressAutoHyphens/>
        <w:ind w:left="0" w:leftChars="0" w:firstLine="0" w:firstLineChars="0"/>
        <w:rPr>
          <w:i w:val="0"/>
          <w:sz w:val="22"/>
          <w:szCs w:val="22"/>
        </w:rPr>
      </w:pPr>
      <w:r>
        <w:rPr>
          <w:i w:val="0"/>
          <w:sz w:val="22"/>
          <w:szCs w:val="22"/>
        </w:rPr>
        <w:t>HASIL DAN PEMBAHASAN</w:t>
      </w:r>
    </w:p>
    <w:p>
      <w:pPr>
        <w:pStyle w:val="14"/>
        <w:autoSpaceDE w:val="0"/>
        <w:autoSpaceDN w:val="0"/>
        <w:adjustRightInd w:val="0"/>
        <w:spacing w:after="0" w:line="240" w:lineRule="auto"/>
        <w:ind w:left="0" w:firstLine="450"/>
        <w:jc w:val="both"/>
        <w:rPr>
          <w:rFonts w:ascii="Times New Roman" w:hAnsi="Times New Roman"/>
          <w:sz w:val="22"/>
          <w:szCs w:val="22"/>
        </w:rPr>
      </w:pPr>
      <w:r>
        <w:rPr>
          <w:rFonts w:ascii="Times New Roman" w:hAnsi="Times New Roman"/>
          <w:sz w:val="22"/>
          <w:szCs w:val="22"/>
        </w:rPr>
        <w:t>Pada bagian ini akan dipaparkan hasil perhitungan tahanan pentanahan kaki menara 1 Elektroda (</w:t>
      </w:r>
      <w:r>
        <w:rPr>
          <w:rFonts w:ascii="Times New Roman" w:hAnsi="Times New Roman"/>
          <w:i/>
          <w:iCs/>
          <w:sz w:val="22"/>
          <w:szCs w:val="22"/>
        </w:rPr>
        <w:t>Single Rod</w:t>
      </w:r>
      <w:r>
        <w:rPr>
          <w:rFonts w:ascii="Times New Roman" w:hAnsi="Times New Roman"/>
          <w:sz w:val="22"/>
          <w:szCs w:val="22"/>
        </w:rPr>
        <w:t>) maupun 3 Batang Elektroda (</w:t>
      </w:r>
      <w:r>
        <w:rPr>
          <w:rFonts w:ascii="Times New Roman" w:hAnsi="Times New Roman"/>
          <w:i/>
          <w:iCs/>
          <w:sz w:val="22"/>
          <w:szCs w:val="22"/>
        </w:rPr>
        <w:t>Multiple Rod</w:t>
      </w:r>
      <w:r>
        <w:rPr>
          <w:rFonts w:ascii="Times New Roman" w:hAnsi="Times New Roman"/>
          <w:sz w:val="22"/>
          <w:szCs w:val="22"/>
        </w:rPr>
        <w:t xml:space="preserve">) berdasarkan hasil pengukuran di lapangan dengan menggunakan </w:t>
      </w:r>
      <w:r>
        <w:rPr>
          <w:rFonts w:ascii="Times New Roman" w:hAnsi="Times New Roman"/>
          <w:i/>
          <w:iCs/>
          <w:sz w:val="22"/>
          <w:szCs w:val="22"/>
        </w:rPr>
        <w:t>earth tester</w:t>
      </w:r>
      <w:r>
        <w:rPr>
          <w:rFonts w:ascii="Times New Roman" w:hAnsi="Times New Roman"/>
          <w:sz w:val="22"/>
          <w:szCs w:val="22"/>
        </w:rPr>
        <w:t>, rumus paralel, dan simulasi nilai.</w:t>
      </w:r>
    </w:p>
    <w:p>
      <w:pPr>
        <w:pStyle w:val="14"/>
        <w:autoSpaceDE w:val="0"/>
        <w:autoSpaceDN w:val="0"/>
        <w:adjustRightInd w:val="0"/>
        <w:spacing w:after="0" w:line="240" w:lineRule="auto"/>
        <w:ind w:left="0" w:firstLine="450"/>
        <w:jc w:val="both"/>
        <w:rPr>
          <w:rFonts w:ascii="Times New Roman" w:hAnsi="Times New Roman"/>
          <w:sz w:val="22"/>
          <w:szCs w:val="22"/>
        </w:rPr>
      </w:pPr>
    </w:p>
    <w:p>
      <w:pPr>
        <w:spacing w:after="0" w:line="240" w:lineRule="auto"/>
        <w:jc w:val="center"/>
        <w:rPr>
          <w:rFonts w:ascii="Times New Roman" w:hAnsi="Times New Roman"/>
          <w:b/>
          <w:bCs/>
          <w:sz w:val="22"/>
          <w:szCs w:val="22"/>
        </w:rPr>
      </w:pPr>
      <w:r>
        <w:rPr>
          <w:rFonts w:ascii="Times New Roman" w:hAnsi="Times New Roman"/>
          <w:b/>
          <w:bCs/>
          <w:sz w:val="22"/>
          <w:szCs w:val="22"/>
          <w:lang w:val="en-US"/>
        </w:rPr>
        <w:t xml:space="preserve">Tabel </w:t>
      </w:r>
      <w:r>
        <w:rPr>
          <w:rFonts w:hint="default" w:ascii="Times New Roman" w:hAnsi="Times New Roman"/>
          <w:b/>
          <w:bCs/>
          <w:sz w:val="22"/>
          <w:szCs w:val="22"/>
          <w:lang w:val="en-US"/>
        </w:rPr>
        <w:t>1</w:t>
      </w:r>
      <w:r>
        <w:rPr>
          <w:rFonts w:ascii="Times New Roman" w:hAnsi="Times New Roman"/>
          <w:b/>
          <w:bCs/>
          <w:sz w:val="22"/>
          <w:szCs w:val="22"/>
          <w:lang w:val="en-US"/>
        </w:rPr>
        <w:t>. Perbandingan Nilai Tahanan Pentanahan 1 Batang Elektroda Berdasarkan Pengukuran, Perhitungan, dan Simulasi Matlab</w:t>
      </w:r>
    </w:p>
    <w:tbl>
      <w:tblPr>
        <w:tblStyle w:val="12"/>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5"/>
        <w:gridCol w:w="804"/>
        <w:gridCol w:w="1025"/>
        <w:gridCol w:w="1033"/>
        <w:gridCol w:w="77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jc w:val="center"/>
        </w:trPr>
        <w:tc>
          <w:tcPr>
            <w:tcW w:w="0" w:type="auto"/>
            <w:vMerge w:val="restart"/>
            <w:tcBorders>
              <w:top w:val="single" w:color="auto" w:sz="4" w:space="0"/>
              <w:bottom w:val="nil"/>
            </w:tcBorders>
            <w:shd w:val="clear" w:color="auto" w:fill="D8D8D8" w:themeFill="background1" w:themeFillShade="D9"/>
            <w:vAlign w:val="center"/>
          </w:tcPr>
          <w:p>
            <w:pPr>
              <w:pStyle w:val="14"/>
              <w:autoSpaceDE w:val="0"/>
              <w:autoSpaceDN w:val="0"/>
              <w:adjustRightInd w:val="0"/>
              <w:spacing w:after="0" w:line="240" w:lineRule="auto"/>
              <w:ind w:left="0"/>
              <w:jc w:val="center"/>
              <w:rPr>
                <w:rFonts w:ascii="Times New Roman" w:hAnsi="Times New Roman"/>
                <w:b/>
                <w:bCs/>
                <w:color w:val="000000"/>
                <w:sz w:val="22"/>
                <w:szCs w:val="22"/>
              </w:rPr>
            </w:pPr>
            <w:r>
              <w:rPr>
                <w:rFonts w:ascii="Times New Roman" w:hAnsi="Times New Roman"/>
                <w:b/>
                <w:bCs/>
                <w:color w:val="000000"/>
                <w:sz w:val="22"/>
                <w:szCs w:val="22"/>
              </w:rPr>
              <w:t>No. Menara</w:t>
            </w:r>
          </w:p>
        </w:tc>
        <w:tc>
          <w:tcPr>
            <w:tcW w:w="0" w:type="auto"/>
            <w:vMerge w:val="restart"/>
            <w:tcBorders>
              <w:top w:val="single" w:color="auto" w:sz="4" w:space="0"/>
              <w:bottom w:val="nil"/>
            </w:tcBorders>
            <w:shd w:val="clear" w:color="auto" w:fill="D8D8D8" w:themeFill="background1" w:themeFillShade="D9"/>
            <w:vAlign w:val="center"/>
          </w:tcPr>
          <w:p>
            <w:pPr>
              <w:pStyle w:val="14"/>
              <w:autoSpaceDE w:val="0"/>
              <w:autoSpaceDN w:val="0"/>
              <w:adjustRightInd w:val="0"/>
              <w:spacing w:after="0" w:line="240" w:lineRule="auto"/>
              <w:ind w:left="0"/>
              <w:jc w:val="center"/>
              <w:rPr>
                <w:rFonts w:ascii="Times New Roman" w:hAnsi="Times New Roman"/>
                <w:b/>
                <w:bCs/>
                <w:color w:val="000000"/>
                <w:sz w:val="22"/>
                <w:szCs w:val="22"/>
              </w:rPr>
            </w:pPr>
            <w:r>
              <w:rPr>
                <w:rFonts w:ascii="Times New Roman" w:hAnsi="Times New Roman"/>
                <w:b/>
                <w:bCs/>
                <w:color w:val="000000"/>
                <w:sz w:val="22"/>
                <w:szCs w:val="22"/>
              </w:rPr>
              <w:t xml:space="preserve">Tahanan Jenis Tanah </w:t>
            </w:r>
            <w:r>
              <w:rPr>
                <w:rFonts w:ascii="Times New Roman" w:hAnsi="Times New Roman" w:eastAsia="Times New Roman"/>
                <w:b/>
                <w:bCs/>
                <w:color w:val="000000"/>
                <w:sz w:val="22"/>
                <w:szCs w:val="22"/>
              </w:rPr>
              <w:t>(</w:t>
            </w:r>
            <w:r>
              <w:rPr>
                <w:rFonts w:ascii="Times New Roman" w:hAnsi="Times New Roman" w:eastAsia="Times New Roman"/>
                <w:b/>
                <w:bCs/>
                <w:sz w:val="22"/>
                <w:szCs w:val="22"/>
              </w:rPr>
              <w:t>Ω.m)</w:t>
            </w:r>
          </w:p>
        </w:tc>
        <w:tc>
          <w:tcPr>
            <w:tcW w:w="0" w:type="auto"/>
            <w:gridSpan w:val="3"/>
            <w:tcBorders>
              <w:top w:val="single" w:color="auto" w:sz="4" w:space="0"/>
              <w:bottom w:val="single" w:color="auto" w:sz="4" w:space="0"/>
            </w:tcBorders>
            <w:shd w:val="clear" w:color="auto" w:fill="D8D8D8" w:themeFill="background1" w:themeFillShade="D9"/>
            <w:vAlign w:val="center"/>
          </w:tcPr>
          <w:p>
            <w:pPr>
              <w:pStyle w:val="14"/>
              <w:autoSpaceDE w:val="0"/>
              <w:autoSpaceDN w:val="0"/>
              <w:adjustRightInd w:val="0"/>
              <w:spacing w:after="0" w:line="240" w:lineRule="auto"/>
              <w:ind w:left="0"/>
              <w:jc w:val="center"/>
              <w:rPr>
                <w:rFonts w:ascii="Times New Roman" w:hAnsi="Times New Roman"/>
                <w:b/>
                <w:bCs/>
                <w:color w:val="000000"/>
                <w:sz w:val="22"/>
                <w:szCs w:val="22"/>
              </w:rPr>
            </w:pPr>
            <w:r>
              <w:rPr>
                <w:rFonts w:ascii="Times New Roman" w:hAnsi="Times New Roman"/>
                <w:b/>
                <w:bCs/>
                <w:color w:val="000000"/>
                <w:sz w:val="22"/>
                <w:szCs w:val="22"/>
              </w:rPr>
              <w:t xml:space="preserve">Tahanan Pentanahan 1 Elektroda Batang </w:t>
            </w:r>
            <w:r>
              <w:rPr>
                <w:rFonts w:ascii="Times New Roman" w:hAnsi="Times New Roman" w:eastAsia="Times New Roman"/>
                <w:b/>
                <w:bCs/>
                <w:color w:val="000000"/>
                <w:sz w:val="22"/>
                <w:szCs w:val="22"/>
              </w:rPr>
              <w:t>(</w:t>
            </w:r>
            <w:r>
              <w:rPr>
                <w:rFonts w:ascii="Times New Roman" w:hAnsi="Times New Roman" w:eastAsia="Times New Roman"/>
                <w:b/>
                <w:bCs/>
                <w:sz w:val="22"/>
                <w:szCs w:val="22"/>
              </w:rPr>
              <w:t>Ω)</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nil"/>
              <w:bottom w:val="single" w:color="auto" w:sz="4" w:space="0"/>
            </w:tcBorders>
            <w:shd w:val="clear" w:color="auto" w:fill="D8D8D8" w:themeFill="background1" w:themeFillShade="D9"/>
            <w:vAlign w:val="center"/>
          </w:tcPr>
          <w:p>
            <w:pPr>
              <w:pStyle w:val="14"/>
              <w:autoSpaceDE w:val="0"/>
              <w:autoSpaceDN w:val="0"/>
              <w:adjustRightInd w:val="0"/>
              <w:spacing w:after="0" w:line="240" w:lineRule="auto"/>
              <w:ind w:left="0"/>
              <w:jc w:val="center"/>
              <w:rPr>
                <w:rFonts w:ascii="Times New Roman" w:hAnsi="Times New Roman"/>
                <w:b/>
                <w:bCs/>
                <w:color w:val="000000"/>
                <w:sz w:val="22"/>
                <w:szCs w:val="22"/>
              </w:rPr>
            </w:pPr>
          </w:p>
        </w:tc>
        <w:tc>
          <w:tcPr>
            <w:tcW w:w="0" w:type="auto"/>
            <w:vMerge w:val="continue"/>
            <w:tcBorders>
              <w:top w:val="nil"/>
              <w:bottom w:val="single" w:color="auto" w:sz="4" w:space="0"/>
            </w:tcBorders>
            <w:shd w:val="clear" w:color="auto" w:fill="D8D8D8" w:themeFill="background1" w:themeFillShade="D9"/>
            <w:vAlign w:val="center"/>
          </w:tcPr>
          <w:p>
            <w:pPr>
              <w:pStyle w:val="14"/>
              <w:autoSpaceDE w:val="0"/>
              <w:autoSpaceDN w:val="0"/>
              <w:adjustRightInd w:val="0"/>
              <w:spacing w:after="0" w:line="240" w:lineRule="auto"/>
              <w:ind w:left="0"/>
              <w:jc w:val="center"/>
              <w:rPr>
                <w:rFonts w:ascii="Times New Roman" w:hAnsi="Times New Roman"/>
                <w:b/>
                <w:bCs/>
                <w:color w:val="000000"/>
                <w:sz w:val="22"/>
                <w:szCs w:val="22"/>
              </w:rPr>
            </w:pPr>
          </w:p>
        </w:tc>
        <w:tc>
          <w:tcPr>
            <w:tcW w:w="0" w:type="auto"/>
            <w:tcBorders>
              <w:top w:val="single" w:color="auto" w:sz="4" w:space="0"/>
              <w:bottom w:val="single" w:color="auto" w:sz="4" w:space="0"/>
            </w:tcBorders>
            <w:shd w:val="clear" w:color="auto" w:fill="D8D8D8" w:themeFill="background1" w:themeFillShade="D9"/>
            <w:vAlign w:val="center"/>
          </w:tcPr>
          <w:p>
            <w:pPr>
              <w:pStyle w:val="14"/>
              <w:autoSpaceDE w:val="0"/>
              <w:autoSpaceDN w:val="0"/>
              <w:adjustRightInd w:val="0"/>
              <w:spacing w:after="0" w:line="240" w:lineRule="auto"/>
              <w:ind w:left="0"/>
              <w:jc w:val="center"/>
              <w:rPr>
                <w:rFonts w:ascii="Times New Roman" w:hAnsi="Times New Roman"/>
                <w:b/>
                <w:bCs/>
                <w:color w:val="000000"/>
                <w:sz w:val="22"/>
                <w:szCs w:val="22"/>
              </w:rPr>
            </w:pPr>
            <w:r>
              <w:rPr>
                <w:rFonts w:ascii="Times New Roman" w:hAnsi="Times New Roman"/>
                <w:b/>
                <w:bCs/>
                <w:color w:val="000000"/>
                <w:sz w:val="22"/>
                <w:szCs w:val="22"/>
              </w:rPr>
              <w:t>Pengukuran</w:t>
            </w:r>
          </w:p>
        </w:tc>
        <w:tc>
          <w:tcPr>
            <w:tcW w:w="0" w:type="auto"/>
            <w:tcBorders>
              <w:top w:val="single" w:color="auto" w:sz="4" w:space="0"/>
              <w:bottom w:val="single" w:color="auto" w:sz="4" w:space="0"/>
            </w:tcBorders>
            <w:shd w:val="clear" w:color="auto" w:fill="D8D8D8" w:themeFill="background1" w:themeFillShade="D9"/>
            <w:vAlign w:val="center"/>
          </w:tcPr>
          <w:p>
            <w:pPr>
              <w:pStyle w:val="14"/>
              <w:autoSpaceDE w:val="0"/>
              <w:autoSpaceDN w:val="0"/>
              <w:adjustRightInd w:val="0"/>
              <w:spacing w:after="0" w:line="240" w:lineRule="auto"/>
              <w:ind w:left="0"/>
              <w:jc w:val="center"/>
              <w:rPr>
                <w:rFonts w:ascii="Times New Roman" w:hAnsi="Times New Roman"/>
                <w:b/>
                <w:bCs/>
                <w:color w:val="000000"/>
                <w:sz w:val="22"/>
                <w:szCs w:val="22"/>
              </w:rPr>
            </w:pPr>
            <w:r>
              <w:rPr>
                <w:rFonts w:ascii="Times New Roman" w:hAnsi="Times New Roman"/>
                <w:b/>
                <w:bCs/>
                <w:color w:val="000000"/>
                <w:sz w:val="22"/>
                <w:szCs w:val="22"/>
              </w:rPr>
              <w:t>Perhitungan</w:t>
            </w:r>
          </w:p>
        </w:tc>
        <w:tc>
          <w:tcPr>
            <w:tcW w:w="0" w:type="auto"/>
            <w:tcBorders>
              <w:top w:val="single" w:color="auto" w:sz="4" w:space="0"/>
              <w:bottom w:val="single" w:color="auto" w:sz="4" w:space="0"/>
            </w:tcBorders>
            <w:shd w:val="clear" w:color="auto" w:fill="D8D8D8" w:themeFill="background1" w:themeFillShade="D9"/>
            <w:vAlign w:val="center"/>
          </w:tcPr>
          <w:p>
            <w:pPr>
              <w:pStyle w:val="14"/>
              <w:autoSpaceDE w:val="0"/>
              <w:autoSpaceDN w:val="0"/>
              <w:adjustRightInd w:val="0"/>
              <w:spacing w:after="0" w:line="240" w:lineRule="auto"/>
              <w:ind w:left="0"/>
              <w:jc w:val="center"/>
              <w:rPr>
                <w:rFonts w:ascii="Times New Roman" w:hAnsi="Times New Roman"/>
                <w:b/>
                <w:bCs/>
                <w:color w:val="000000"/>
                <w:sz w:val="22"/>
                <w:szCs w:val="22"/>
              </w:rPr>
            </w:pPr>
            <w:r>
              <w:rPr>
                <w:rFonts w:ascii="Times New Roman" w:hAnsi="Times New Roman"/>
                <w:b/>
                <w:bCs/>
                <w:color w:val="000000"/>
                <w:sz w:val="22"/>
                <w:szCs w:val="22"/>
              </w:rPr>
              <w:t>Simulasi Matlab</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tcBorders>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13</w:t>
            </w:r>
          </w:p>
        </w:tc>
        <w:tc>
          <w:tcPr>
            <w:tcW w:w="0" w:type="auto"/>
            <w:tcBorders>
              <w:top w:val="single" w:color="auto" w:sz="4" w:space="0"/>
            </w:tcBorders>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30</w:t>
            </w:r>
          </w:p>
        </w:tc>
        <w:tc>
          <w:tcPr>
            <w:tcW w:w="0" w:type="auto"/>
            <w:tcBorders>
              <w:top w:val="single" w:color="auto" w:sz="4" w:space="0"/>
            </w:tcBorders>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23,1</w:t>
            </w:r>
          </w:p>
        </w:tc>
        <w:tc>
          <w:tcPr>
            <w:tcW w:w="0" w:type="auto"/>
            <w:tcBorders>
              <w:top w:val="single" w:color="auto" w:sz="4" w:space="0"/>
            </w:tcBorders>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color w:val="000000"/>
                <w:sz w:val="22"/>
                <w:szCs w:val="22"/>
              </w:rPr>
              <w:t>6.970444</w:t>
            </w:r>
          </w:p>
        </w:tc>
        <w:tc>
          <w:tcPr>
            <w:tcW w:w="0" w:type="auto"/>
            <w:tcBorders>
              <w:top w:val="single" w:color="auto" w:sz="4" w:space="0"/>
            </w:tcBorders>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eastAsia="Times New Roman"/>
                <w:color w:val="000000"/>
                <w:sz w:val="22"/>
                <w:szCs w:val="22"/>
              </w:rPr>
              <w:t>6,96691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18</w:t>
            </w:r>
          </w:p>
        </w:tc>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30</w:t>
            </w:r>
          </w:p>
        </w:tc>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16,38</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color w:val="000000"/>
                <w:sz w:val="22"/>
                <w:szCs w:val="22"/>
              </w:rPr>
              <w:t>6.970444</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eastAsia="Times New Roman"/>
                <w:color w:val="000000"/>
                <w:sz w:val="22"/>
                <w:szCs w:val="22"/>
              </w:rPr>
              <w:t>6,96691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22</w:t>
            </w:r>
          </w:p>
        </w:tc>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200</w:t>
            </w:r>
          </w:p>
        </w:tc>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70,3</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color w:val="000000"/>
                <w:sz w:val="22"/>
                <w:szCs w:val="22"/>
              </w:rPr>
              <w:t>46.46963</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eastAsia="Times New Roman"/>
                <w:color w:val="000000"/>
                <w:sz w:val="22"/>
                <w:szCs w:val="22"/>
              </w:rPr>
              <w:t>46,4461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34</w:t>
            </w:r>
          </w:p>
        </w:tc>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30</w:t>
            </w:r>
          </w:p>
        </w:tc>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24,4</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color w:val="000000"/>
                <w:sz w:val="22"/>
                <w:szCs w:val="22"/>
              </w:rPr>
              <w:t>6.970444</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eastAsia="Times New Roman"/>
                <w:color w:val="000000"/>
                <w:sz w:val="22"/>
                <w:szCs w:val="22"/>
              </w:rPr>
              <w:t>6,96691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color w:val="000000"/>
                <w:sz w:val="22"/>
                <w:szCs w:val="22"/>
              </w:rPr>
              <w:t>36</w:t>
            </w:r>
          </w:p>
        </w:tc>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30</w:t>
            </w:r>
          </w:p>
        </w:tc>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87,7</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color w:val="000000"/>
                <w:sz w:val="22"/>
                <w:szCs w:val="22"/>
              </w:rPr>
              <w:t>6.970444</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eastAsia="Times New Roman"/>
                <w:color w:val="000000"/>
                <w:sz w:val="22"/>
                <w:szCs w:val="22"/>
              </w:rPr>
              <w:t>6,96691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42</w:t>
            </w:r>
          </w:p>
        </w:tc>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1000</w:t>
            </w:r>
          </w:p>
        </w:tc>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120,8</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color w:val="000000"/>
                <w:sz w:val="22"/>
                <w:szCs w:val="22"/>
              </w:rPr>
              <w:t>232.3481</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eastAsia="Times New Roman"/>
                <w:color w:val="000000"/>
                <w:sz w:val="22"/>
                <w:szCs w:val="22"/>
              </w:rPr>
              <w:t>232,23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45</w:t>
            </w:r>
          </w:p>
        </w:tc>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30</w:t>
            </w:r>
          </w:p>
        </w:tc>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12,91</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color w:val="000000"/>
                <w:sz w:val="22"/>
                <w:szCs w:val="22"/>
              </w:rPr>
              <w:t>8.047854</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eastAsia="Times New Roman"/>
                <w:color w:val="000000"/>
                <w:sz w:val="22"/>
                <w:szCs w:val="22"/>
              </w:rPr>
              <w:t>6,96691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eastAsia="Times New Roman"/>
                <w:color w:val="000000"/>
                <w:sz w:val="22"/>
                <w:szCs w:val="22"/>
              </w:rPr>
              <w:t>66</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eastAsia="Times New Roman"/>
                <w:color w:val="000000"/>
                <w:sz w:val="22"/>
                <w:szCs w:val="22"/>
              </w:rPr>
              <w:t>100</w:t>
            </w:r>
          </w:p>
        </w:tc>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30,2</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color w:val="000000"/>
                <w:sz w:val="22"/>
                <w:szCs w:val="22"/>
              </w:rPr>
              <w:t>23.23481</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eastAsia="Times New Roman"/>
                <w:color w:val="000000"/>
                <w:sz w:val="22"/>
                <w:szCs w:val="22"/>
              </w:rPr>
              <w:t>23,223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eastAsia="Times New Roman"/>
                <w:color w:val="000000"/>
                <w:sz w:val="22"/>
                <w:szCs w:val="22"/>
              </w:rPr>
              <w:t>67</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eastAsia="Times New Roman"/>
                <w:color w:val="000000"/>
                <w:sz w:val="22"/>
                <w:szCs w:val="22"/>
              </w:rPr>
              <w:t>30</w:t>
            </w:r>
          </w:p>
        </w:tc>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87,5</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color w:val="000000"/>
                <w:sz w:val="22"/>
                <w:szCs w:val="22"/>
              </w:rPr>
              <w:t>6.970444</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eastAsia="Times New Roman"/>
                <w:color w:val="000000"/>
                <w:sz w:val="22"/>
                <w:szCs w:val="22"/>
              </w:rPr>
              <w:t>6,96691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eastAsia="Times New Roman"/>
                <w:color w:val="000000"/>
                <w:sz w:val="22"/>
                <w:szCs w:val="22"/>
              </w:rPr>
              <w:t>176</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eastAsia="Times New Roman"/>
                <w:color w:val="000000"/>
                <w:sz w:val="22"/>
                <w:szCs w:val="22"/>
              </w:rPr>
              <w:t>100</w:t>
            </w:r>
          </w:p>
        </w:tc>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73,5</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color w:val="000000"/>
                <w:sz w:val="22"/>
                <w:szCs w:val="22"/>
              </w:rPr>
              <w:t>23.23481</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eastAsia="Times New Roman"/>
                <w:color w:val="000000"/>
                <w:sz w:val="22"/>
                <w:szCs w:val="22"/>
              </w:rPr>
              <w:t>23,223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eastAsia="Times New Roman"/>
                <w:color w:val="000000"/>
                <w:sz w:val="22"/>
                <w:szCs w:val="22"/>
              </w:rPr>
              <w:t>189</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eastAsia="Times New Roman"/>
                <w:color w:val="000000"/>
                <w:sz w:val="22"/>
                <w:szCs w:val="22"/>
              </w:rPr>
              <w:t>100</w:t>
            </w:r>
          </w:p>
        </w:tc>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41,2</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color w:val="000000"/>
                <w:sz w:val="22"/>
                <w:szCs w:val="22"/>
              </w:rPr>
              <w:t>23.23481</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eastAsia="Times New Roman"/>
                <w:color w:val="000000"/>
                <w:sz w:val="22"/>
                <w:szCs w:val="22"/>
              </w:rPr>
              <w:t>23,223</w:t>
            </w:r>
          </w:p>
        </w:tc>
      </w:tr>
    </w:tbl>
    <w:p>
      <w:pPr>
        <w:spacing w:after="0" w:line="240" w:lineRule="auto"/>
        <w:jc w:val="both"/>
        <w:rPr>
          <w:rFonts w:ascii="Times New Roman" w:hAnsi="Times New Roman"/>
          <w:sz w:val="22"/>
          <w:szCs w:val="22"/>
        </w:rPr>
      </w:pPr>
    </w:p>
    <w:p>
      <w:pPr>
        <w:spacing w:after="0" w:line="240" w:lineRule="auto"/>
        <w:jc w:val="center"/>
        <w:rPr>
          <w:sz w:val="22"/>
          <w:szCs w:val="22"/>
        </w:rPr>
      </w:pPr>
      <w:r>
        <w:rPr>
          <w:sz w:val="22"/>
          <w:szCs w:val="22"/>
        </w:rPr>
        <w:drawing>
          <wp:inline distT="0" distB="0" distL="0" distR="0">
            <wp:extent cx="3395345" cy="2170430"/>
            <wp:effectExtent l="4445" t="4445" r="16510" b="9525"/>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after="0" w:line="240" w:lineRule="auto"/>
        <w:jc w:val="center"/>
        <w:rPr>
          <w:sz w:val="22"/>
          <w:szCs w:val="22"/>
        </w:rPr>
      </w:pPr>
    </w:p>
    <w:p>
      <w:pPr>
        <w:spacing w:after="0" w:line="240" w:lineRule="auto"/>
        <w:jc w:val="center"/>
        <w:rPr>
          <w:rFonts w:ascii="Times New Roman" w:hAnsi="Times New Roman"/>
          <w:b/>
          <w:bCs/>
          <w:color w:val="000000"/>
          <w:sz w:val="22"/>
          <w:szCs w:val="22"/>
        </w:rPr>
      </w:pPr>
      <w:r>
        <w:rPr>
          <w:rFonts w:ascii="Times New Roman" w:hAnsi="Times New Roman"/>
          <w:b/>
          <w:bCs/>
          <w:color w:val="000000"/>
          <w:sz w:val="22"/>
          <w:szCs w:val="22"/>
        </w:rPr>
        <w:t>Gambar 1.</w:t>
      </w:r>
      <w:r>
        <w:rPr>
          <w:b/>
          <w:bCs/>
          <w:sz w:val="22"/>
          <w:szCs w:val="22"/>
        </w:rPr>
        <w:t xml:space="preserve"> </w:t>
      </w:r>
      <w:r>
        <w:rPr>
          <w:rFonts w:ascii="Times New Roman" w:hAnsi="Times New Roman"/>
          <w:b/>
          <w:bCs/>
          <w:color w:val="000000"/>
          <w:sz w:val="22"/>
          <w:szCs w:val="22"/>
        </w:rPr>
        <w:t>Grafik Perbadingan Hasil Pentanahan 1 Batang Elektroda (</w:t>
      </w:r>
      <w:r>
        <w:rPr>
          <w:rFonts w:ascii="Times New Roman" w:hAnsi="Times New Roman"/>
          <w:b/>
          <w:bCs/>
          <w:i/>
          <w:iCs/>
          <w:color w:val="000000"/>
          <w:sz w:val="22"/>
          <w:szCs w:val="22"/>
        </w:rPr>
        <w:t>Single Rod</w:t>
      </w:r>
      <w:r>
        <w:rPr>
          <w:rFonts w:ascii="Times New Roman" w:hAnsi="Times New Roman"/>
          <w:b/>
          <w:bCs/>
          <w:color w:val="000000"/>
          <w:sz w:val="22"/>
          <w:szCs w:val="22"/>
        </w:rPr>
        <w:t>)</w:t>
      </w:r>
    </w:p>
    <w:p>
      <w:pPr>
        <w:spacing w:after="0" w:line="240" w:lineRule="auto"/>
        <w:jc w:val="both"/>
        <w:rPr>
          <w:rFonts w:ascii="Times New Roman" w:hAnsi="Times New Roman"/>
          <w:sz w:val="22"/>
          <w:szCs w:val="22"/>
        </w:rPr>
      </w:pPr>
    </w:p>
    <w:p>
      <w:pPr>
        <w:autoSpaceDE w:val="0"/>
        <w:autoSpaceDN w:val="0"/>
        <w:adjustRightInd w:val="0"/>
        <w:spacing w:after="0" w:line="240" w:lineRule="auto"/>
        <w:ind w:firstLine="360"/>
        <w:jc w:val="both"/>
        <w:rPr>
          <w:rFonts w:ascii="Times New Roman" w:hAnsi="Times New Roman"/>
          <w:color w:val="000000"/>
          <w:sz w:val="22"/>
          <w:szCs w:val="22"/>
        </w:rPr>
      </w:pPr>
      <w:r>
        <w:rPr>
          <w:rFonts w:ascii="Times New Roman" w:hAnsi="Times New Roman"/>
          <w:color w:val="000000"/>
          <w:sz w:val="22"/>
          <w:szCs w:val="22"/>
        </w:rPr>
        <w:t>Pada tabel 2 dan gambar 1 dapat diamati perbandingan nilai tahanan pentanahan berdasarkan dari hasil pengukuran, perhitungan, dan simulasi menggunakan Matlab untuk pentanahan 1 elektroda batang (</w:t>
      </w:r>
      <w:r>
        <w:rPr>
          <w:rFonts w:ascii="Times New Roman" w:hAnsi="Times New Roman"/>
          <w:i/>
          <w:iCs/>
          <w:color w:val="000000"/>
          <w:sz w:val="22"/>
          <w:szCs w:val="22"/>
        </w:rPr>
        <w:t>single rod</w:t>
      </w:r>
      <w:r>
        <w:rPr>
          <w:rFonts w:ascii="Times New Roman" w:hAnsi="Times New Roman"/>
          <w:color w:val="000000"/>
          <w:sz w:val="22"/>
          <w:szCs w:val="22"/>
        </w:rPr>
        <w:t xml:space="preserve">). Hasil dari pengukuran dengan perhitungan sangat berbeda dikarenakan  </w:t>
      </w:r>
    </w:p>
    <w:p>
      <w:pPr>
        <w:spacing w:after="0" w:line="240" w:lineRule="auto"/>
        <w:ind w:firstLine="360"/>
        <w:jc w:val="both"/>
        <w:rPr>
          <w:rFonts w:ascii="Times New Roman" w:hAnsi="Times New Roman"/>
          <w:color w:val="000000"/>
          <w:sz w:val="22"/>
          <w:szCs w:val="22"/>
        </w:rPr>
      </w:pPr>
      <w:r>
        <w:rPr>
          <w:rFonts w:ascii="Times New Roman" w:hAnsi="Times New Roman"/>
          <w:color w:val="000000"/>
          <w:sz w:val="22"/>
          <w:szCs w:val="22"/>
        </w:rPr>
        <w:t>Untuk data hasil perhitungan dan simulasi pada Matlab ditunjukkan nilai yang hampir sama, baik itu pentanahan 1 elektroda batang (</w:t>
      </w:r>
      <w:r>
        <w:rPr>
          <w:rFonts w:ascii="Times New Roman" w:hAnsi="Times New Roman"/>
          <w:i/>
          <w:iCs/>
          <w:color w:val="000000"/>
          <w:sz w:val="22"/>
          <w:szCs w:val="22"/>
        </w:rPr>
        <w:t>single rod</w:t>
      </w:r>
      <w:r>
        <w:rPr>
          <w:rFonts w:ascii="Times New Roman" w:hAnsi="Times New Roman"/>
          <w:color w:val="000000"/>
          <w:sz w:val="22"/>
          <w:szCs w:val="22"/>
        </w:rPr>
        <w:t>) maupun 3 elektroda batang yang diparalelkan (</w:t>
      </w:r>
      <w:r>
        <w:rPr>
          <w:rFonts w:ascii="Times New Roman" w:hAnsi="Times New Roman"/>
          <w:i/>
          <w:iCs/>
          <w:color w:val="000000"/>
          <w:sz w:val="22"/>
          <w:szCs w:val="22"/>
        </w:rPr>
        <w:t>multiple rod</w:t>
      </w:r>
      <w:r>
        <w:rPr>
          <w:rFonts w:ascii="Times New Roman" w:hAnsi="Times New Roman"/>
          <w:color w:val="000000"/>
          <w:sz w:val="22"/>
          <w:szCs w:val="22"/>
        </w:rPr>
        <w:t>). Namun pada pengukuran dilapangan setelah dilakukan perbaikan dan instalasi ulang tanahan pentanahan, hasil yang ditunjukkan jauh berbeda dan secara keseluruhan lebih kecil dibandingkan hasil perhitungan.</w:t>
      </w:r>
    </w:p>
    <w:p>
      <w:pPr>
        <w:spacing w:after="0" w:line="240" w:lineRule="auto"/>
        <w:ind w:firstLine="360"/>
        <w:jc w:val="both"/>
        <w:rPr>
          <w:rFonts w:ascii="Times New Roman" w:hAnsi="Times New Roman"/>
          <w:color w:val="000000"/>
          <w:sz w:val="22"/>
          <w:szCs w:val="22"/>
        </w:rPr>
      </w:pPr>
    </w:p>
    <w:p>
      <w:pPr>
        <w:spacing w:after="0" w:line="240" w:lineRule="auto"/>
        <w:jc w:val="center"/>
        <w:rPr>
          <w:rFonts w:ascii="Times New Roman" w:hAnsi="Times New Roman"/>
          <w:b/>
          <w:bCs/>
          <w:color w:val="000000"/>
          <w:sz w:val="22"/>
          <w:szCs w:val="22"/>
        </w:rPr>
      </w:pPr>
      <w:r>
        <w:rPr>
          <w:rFonts w:ascii="Times New Roman" w:hAnsi="Times New Roman"/>
          <w:b/>
          <w:bCs/>
          <w:sz w:val="22"/>
          <w:szCs w:val="22"/>
          <w:lang w:val="en-US"/>
        </w:rPr>
        <w:t xml:space="preserve">Tabel </w:t>
      </w:r>
      <w:r>
        <w:rPr>
          <w:rFonts w:hint="default" w:ascii="Times New Roman" w:hAnsi="Times New Roman"/>
          <w:b/>
          <w:bCs/>
          <w:sz w:val="22"/>
          <w:szCs w:val="22"/>
          <w:lang w:val="en-US"/>
        </w:rPr>
        <w:t>2</w:t>
      </w:r>
      <w:r>
        <w:rPr>
          <w:rFonts w:ascii="Times New Roman" w:hAnsi="Times New Roman"/>
          <w:b/>
          <w:bCs/>
          <w:sz w:val="22"/>
          <w:szCs w:val="22"/>
          <w:lang w:val="en-US"/>
        </w:rPr>
        <w:t>. Perbandingan Nilai Tahanan Pentanahan Elektroda diparalelkan Berdasarkan Pengukuran, Perhitungan, dan Simulasi Matlab</w:t>
      </w:r>
    </w:p>
    <w:tbl>
      <w:tblPr>
        <w:tblStyle w:val="12"/>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5"/>
        <w:gridCol w:w="804"/>
        <w:gridCol w:w="1025"/>
        <w:gridCol w:w="1033"/>
        <w:gridCol w:w="77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restart"/>
            <w:tcBorders>
              <w:top w:val="single" w:color="auto" w:sz="4" w:space="0"/>
              <w:bottom w:val="nil"/>
            </w:tcBorders>
            <w:shd w:val="clear" w:color="auto" w:fill="D8D8D8" w:themeFill="background1" w:themeFillShade="D9"/>
            <w:vAlign w:val="center"/>
          </w:tcPr>
          <w:p>
            <w:pPr>
              <w:pStyle w:val="14"/>
              <w:autoSpaceDE w:val="0"/>
              <w:autoSpaceDN w:val="0"/>
              <w:adjustRightInd w:val="0"/>
              <w:spacing w:after="0" w:line="240" w:lineRule="auto"/>
              <w:ind w:left="0"/>
              <w:jc w:val="center"/>
              <w:rPr>
                <w:rFonts w:ascii="Times New Roman" w:hAnsi="Times New Roman"/>
                <w:b/>
                <w:bCs/>
                <w:color w:val="000000"/>
                <w:sz w:val="22"/>
                <w:szCs w:val="22"/>
              </w:rPr>
            </w:pPr>
            <w:r>
              <w:rPr>
                <w:rFonts w:ascii="Times New Roman" w:hAnsi="Times New Roman"/>
                <w:b/>
                <w:bCs/>
                <w:color w:val="000000"/>
                <w:sz w:val="22"/>
                <w:szCs w:val="22"/>
              </w:rPr>
              <w:t>No. Menara</w:t>
            </w:r>
          </w:p>
        </w:tc>
        <w:tc>
          <w:tcPr>
            <w:tcW w:w="0" w:type="auto"/>
            <w:vMerge w:val="restart"/>
            <w:tcBorders>
              <w:top w:val="single" w:color="auto" w:sz="4" w:space="0"/>
              <w:bottom w:val="nil"/>
            </w:tcBorders>
            <w:shd w:val="clear" w:color="auto" w:fill="D8D8D8" w:themeFill="background1" w:themeFillShade="D9"/>
            <w:vAlign w:val="center"/>
          </w:tcPr>
          <w:p>
            <w:pPr>
              <w:pStyle w:val="14"/>
              <w:autoSpaceDE w:val="0"/>
              <w:autoSpaceDN w:val="0"/>
              <w:adjustRightInd w:val="0"/>
              <w:spacing w:after="0" w:line="240" w:lineRule="auto"/>
              <w:ind w:left="0"/>
              <w:jc w:val="center"/>
              <w:rPr>
                <w:rFonts w:ascii="Times New Roman" w:hAnsi="Times New Roman"/>
                <w:b/>
                <w:bCs/>
                <w:color w:val="000000"/>
                <w:sz w:val="22"/>
                <w:szCs w:val="22"/>
              </w:rPr>
            </w:pPr>
            <w:r>
              <w:rPr>
                <w:rFonts w:ascii="Times New Roman" w:hAnsi="Times New Roman"/>
                <w:b/>
                <w:bCs/>
                <w:color w:val="000000"/>
                <w:sz w:val="22"/>
                <w:szCs w:val="22"/>
              </w:rPr>
              <w:t xml:space="preserve">Tahanan Jenis Tanah </w:t>
            </w:r>
            <w:r>
              <w:rPr>
                <w:rFonts w:ascii="Times New Roman" w:hAnsi="Times New Roman" w:eastAsia="Times New Roman"/>
                <w:b/>
                <w:bCs/>
                <w:color w:val="000000"/>
                <w:sz w:val="22"/>
                <w:szCs w:val="22"/>
              </w:rPr>
              <w:t>(</w:t>
            </w:r>
            <w:r>
              <w:rPr>
                <w:rFonts w:ascii="Times New Roman" w:hAnsi="Times New Roman" w:eastAsia="Times New Roman"/>
                <w:b/>
                <w:bCs/>
                <w:sz w:val="22"/>
                <w:szCs w:val="22"/>
              </w:rPr>
              <w:t>Ω.m)</w:t>
            </w:r>
          </w:p>
        </w:tc>
        <w:tc>
          <w:tcPr>
            <w:tcW w:w="0" w:type="auto"/>
            <w:gridSpan w:val="3"/>
            <w:tcBorders>
              <w:top w:val="single" w:color="auto" w:sz="4" w:space="0"/>
              <w:bottom w:val="single" w:color="auto" w:sz="4" w:space="0"/>
            </w:tcBorders>
            <w:shd w:val="clear" w:color="auto" w:fill="D8D8D8" w:themeFill="background1" w:themeFillShade="D9"/>
            <w:vAlign w:val="center"/>
          </w:tcPr>
          <w:p>
            <w:pPr>
              <w:pStyle w:val="14"/>
              <w:autoSpaceDE w:val="0"/>
              <w:autoSpaceDN w:val="0"/>
              <w:adjustRightInd w:val="0"/>
              <w:spacing w:after="0" w:line="240" w:lineRule="auto"/>
              <w:ind w:left="0"/>
              <w:jc w:val="center"/>
              <w:rPr>
                <w:rFonts w:ascii="Times New Roman" w:hAnsi="Times New Roman"/>
                <w:b/>
                <w:bCs/>
                <w:color w:val="000000"/>
                <w:sz w:val="22"/>
                <w:szCs w:val="22"/>
              </w:rPr>
            </w:pPr>
            <w:r>
              <w:rPr>
                <w:rFonts w:ascii="Times New Roman" w:hAnsi="Times New Roman"/>
                <w:b/>
                <w:bCs/>
                <w:color w:val="000000"/>
                <w:sz w:val="22"/>
                <w:szCs w:val="22"/>
              </w:rPr>
              <w:t xml:space="preserve">Tahanan Pentanahan 1 Elektroda Batang </w:t>
            </w:r>
            <w:r>
              <w:rPr>
                <w:rFonts w:ascii="Times New Roman" w:hAnsi="Times New Roman" w:eastAsia="Times New Roman"/>
                <w:b/>
                <w:bCs/>
                <w:color w:val="000000"/>
                <w:sz w:val="22"/>
                <w:szCs w:val="22"/>
              </w:rPr>
              <w:t>(</w:t>
            </w:r>
            <w:r>
              <w:rPr>
                <w:rFonts w:ascii="Times New Roman" w:hAnsi="Times New Roman" w:eastAsia="Times New Roman"/>
                <w:b/>
                <w:bCs/>
                <w:sz w:val="22"/>
                <w:szCs w:val="22"/>
              </w:rPr>
              <w:t>Ω)</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nil"/>
              <w:bottom w:val="single" w:color="auto" w:sz="4" w:space="0"/>
            </w:tcBorders>
            <w:shd w:val="clear" w:color="auto" w:fill="D8D8D8" w:themeFill="background1" w:themeFillShade="D9"/>
            <w:vAlign w:val="center"/>
          </w:tcPr>
          <w:p>
            <w:pPr>
              <w:pStyle w:val="14"/>
              <w:autoSpaceDE w:val="0"/>
              <w:autoSpaceDN w:val="0"/>
              <w:adjustRightInd w:val="0"/>
              <w:spacing w:after="0" w:line="240" w:lineRule="auto"/>
              <w:ind w:left="0"/>
              <w:jc w:val="center"/>
              <w:rPr>
                <w:rFonts w:ascii="Times New Roman" w:hAnsi="Times New Roman"/>
                <w:b/>
                <w:bCs/>
                <w:color w:val="000000"/>
                <w:sz w:val="22"/>
                <w:szCs w:val="22"/>
              </w:rPr>
            </w:pPr>
          </w:p>
        </w:tc>
        <w:tc>
          <w:tcPr>
            <w:tcW w:w="0" w:type="auto"/>
            <w:vMerge w:val="continue"/>
            <w:tcBorders>
              <w:top w:val="nil"/>
              <w:bottom w:val="single" w:color="auto" w:sz="4" w:space="0"/>
            </w:tcBorders>
            <w:shd w:val="clear" w:color="auto" w:fill="D8D8D8" w:themeFill="background1" w:themeFillShade="D9"/>
            <w:vAlign w:val="center"/>
          </w:tcPr>
          <w:p>
            <w:pPr>
              <w:pStyle w:val="14"/>
              <w:autoSpaceDE w:val="0"/>
              <w:autoSpaceDN w:val="0"/>
              <w:adjustRightInd w:val="0"/>
              <w:spacing w:after="0" w:line="240" w:lineRule="auto"/>
              <w:ind w:left="0"/>
              <w:jc w:val="center"/>
              <w:rPr>
                <w:rFonts w:ascii="Times New Roman" w:hAnsi="Times New Roman"/>
                <w:b/>
                <w:bCs/>
                <w:color w:val="000000"/>
                <w:sz w:val="22"/>
                <w:szCs w:val="22"/>
              </w:rPr>
            </w:pPr>
          </w:p>
        </w:tc>
        <w:tc>
          <w:tcPr>
            <w:tcW w:w="0" w:type="auto"/>
            <w:tcBorders>
              <w:top w:val="single" w:color="auto" w:sz="4" w:space="0"/>
              <w:bottom w:val="single" w:color="auto" w:sz="4" w:space="0"/>
            </w:tcBorders>
            <w:shd w:val="clear" w:color="auto" w:fill="D8D8D8" w:themeFill="background1" w:themeFillShade="D9"/>
            <w:vAlign w:val="center"/>
          </w:tcPr>
          <w:p>
            <w:pPr>
              <w:pStyle w:val="14"/>
              <w:autoSpaceDE w:val="0"/>
              <w:autoSpaceDN w:val="0"/>
              <w:adjustRightInd w:val="0"/>
              <w:spacing w:after="0" w:line="240" w:lineRule="auto"/>
              <w:ind w:left="0"/>
              <w:jc w:val="center"/>
              <w:rPr>
                <w:rFonts w:ascii="Times New Roman" w:hAnsi="Times New Roman"/>
                <w:b/>
                <w:bCs/>
                <w:color w:val="000000"/>
                <w:sz w:val="22"/>
                <w:szCs w:val="22"/>
              </w:rPr>
            </w:pPr>
            <w:r>
              <w:rPr>
                <w:rFonts w:ascii="Times New Roman" w:hAnsi="Times New Roman"/>
                <w:b/>
                <w:bCs/>
                <w:color w:val="000000"/>
                <w:sz w:val="22"/>
                <w:szCs w:val="22"/>
              </w:rPr>
              <w:t>Pengukuran</w:t>
            </w:r>
          </w:p>
        </w:tc>
        <w:tc>
          <w:tcPr>
            <w:tcW w:w="0" w:type="auto"/>
            <w:tcBorders>
              <w:top w:val="single" w:color="auto" w:sz="4" w:space="0"/>
              <w:bottom w:val="single" w:color="auto" w:sz="4" w:space="0"/>
            </w:tcBorders>
            <w:shd w:val="clear" w:color="auto" w:fill="D8D8D8" w:themeFill="background1" w:themeFillShade="D9"/>
            <w:vAlign w:val="center"/>
          </w:tcPr>
          <w:p>
            <w:pPr>
              <w:pStyle w:val="14"/>
              <w:autoSpaceDE w:val="0"/>
              <w:autoSpaceDN w:val="0"/>
              <w:adjustRightInd w:val="0"/>
              <w:spacing w:after="0" w:line="240" w:lineRule="auto"/>
              <w:ind w:left="0"/>
              <w:jc w:val="center"/>
              <w:rPr>
                <w:rFonts w:ascii="Times New Roman" w:hAnsi="Times New Roman"/>
                <w:b/>
                <w:bCs/>
                <w:color w:val="000000"/>
                <w:sz w:val="22"/>
                <w:szCs w:val="22"/>
              </w:rPr>
            </w:pPr>
            <w:r>
              <w:rPr>
                <w:rFonts w:ascii="Times New Roman" w:hAnsi="Times New Roman"/>
                <w:b/>
                <w:bCs/>
                <w:color w:val="000000"/>
                <w:sz w:val="22"/>
                <w:szCs w:val="22"/>
              </w:rPr>
              <w:t>Perhitungan</w:t>
            </w:r>
          </w:p>
        </w:tc>
        <w:tc>
          <w:tcPr>
            <w:tcW w:w="0" w:type="auto"/>
            <w:tcBorders>
              <w:top w:val="single" w:color="auto" w:sz="4" w:space="0"/>
              <w:bottom w:val="single" w:color="auto" w:sz="4" w:space="0"/>
            </w:tcBorders>
            <w:shd w:val="clear" w:color="auto" w:fill="D8D8D8" w:themeFill="background1" w:themeFillShade="D9"/>
            <w:vAlign w:val="center"/>
          </w:tcPr>
          <w:p>
            <w:pPr>
              <w:pStyle w:val="14"/>
              <w:autoSpaceDE w:val="0"/>
              <w:autoSpaceDN w:val="0"/>
              <w:adjustRightInd w:val="0"/>
              <w:spacing w:after="0" w:line="240" w:lineRule="auto"/>
              <w:ind w:left="0"/>
              <w:jc w:val="center"/>
              <w:rPr>
                <w:rFonts w:ascii="Times New Roman" w:hAnsi="Times New Roman"/>
                <w:b/>
                <w:bCs/>
                <w:color w:val="000000"/>
                <w:sz w:val="22"/>
                <w:szCs w:val="22"/>
              </w:rPr>
            </w:pPr>
            <w:r>
              <w:rPr>
                <w:rFonts w:ascii="Times New Roman" w:hAnsi="Times New Roman"/>
                <w:b/>
                <w:bCs/>
                <w:color w:val="000000"/>
                <w:sz w:val="22"/>
                <w:szCs w:val="22"/>
              </w:rPr>
              <w:t>Simulasi Matlab</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tcBorders>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13</w:t>
            </w:r>
          </w:p>
        </w:tc>
        <w:tc>
          <w:tcPr>
            <w:tcW w:w="0" w:type="auto"/>
            <w:tcBorders>
              <w:top w:val="single" w:color="auto" w:sz="4" w:space="0"/>
            </w:tcBorders>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30</w:t>
            </w:r>
          </w:p>
        </w:tc>
        <w:tc>
          <w:tcPr>
            <w:tcW w:w="0" w:type="auto"/>
            <w:tcBorders>
              <w:top w:val="single" w:color="auto" w:sz="4" w:space="0"/>
            </w:tcBorders>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0,09</w:t>
            </w:r>
          </w:p>
        </w:tc>
        <w:tc>
          <w:tcPr>
            <w:tcW w:w="0" w:type="auto"/>
            <w:tcBorders>
              <w:top w:val="single" w:color="auto" w:sz="4" w:space="0"/>
            </w:tcBorders>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color w:val="000000"/>
                <w:sz w:val="22"/>
                <w:szCs w:val="22"/>
              </w:rPr>
              <w:t>3.942343</w:t>
            </w:r>
          </w:p>
        </w:tc>
        <w:tc>
          <w:tcPr>
            <w:tcW w:w="0" w:type="auto"/>
            <w:tcBorders>
              <w:top w:val="single" w:color="auto" w:sz="4" w:space="0"/>
            </w:tcBorders>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color w:val="000000"/>
                <w:sz w:val="22"/>
                <w:szCs w:val="22"/>
              </w:rPr>
              <w:t>3,9457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18</w:t>
            </w:r>
          </w:p>
        </w:tc>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30</w:t>
            </w:r>
          </w:p>
        </w:tc>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8,12</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color w:val="000000"/>
                <w:sz w:val="22"/>
                <w:szCs w:val="22"/>
              </w:rPr>
              <w:t>3.942343</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color w:val="000000"/>
                <w:sz w:val="22"/>
                <w:szCs w:val="22"/>
              </w:rPr>
              <w:t>3,9457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22</w:t>
            </w:r>
          </w:p>
        </w:tc>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200</w:t>
            </w:r>
          </w:p>
        </w:tc>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7,69</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eastAsiaTheme="minorEastAsia"/>
                <w:sz w:val="22"/>
                <w:szCs w:val="22"/>
              </w:rPr>
              <w:t>4,931</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color w:val="000000"/>
                <w:sz w:val="22"/>
                <w:szCs w:val="22"/>
              </w:rPr>
              <w:t>4,95337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34</w:t>
            </w:r>
          </w:p>
        </w:tc>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30</w:t>
            </w:r>
          </w:p>
        </w:tc>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2,13</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color w:val="000000"/>
                <w:sz w:val="22"/>
                <w:szCs w:val="22"/>
              </w:rPr>
              <w:t>3.942343</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color w:val="000000"/>
                <w:sz w:val="22"/>
                <w:szCs w:val="22"/>
              </w:rPr>
              <w:t>3,9457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color w:val="000000"/>
                <w:sz w:val="22"/>
                <w:szCs w:val="22"/>
              </w:rPr>
              <w:t>36</w:t>
            </w:r>
          </w:p>
        </w:tc>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30</w:t>
            </w:r>
          </w:p>
        </w:tc>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5,67</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color w:val="000000"/>
                <w:sz w:val="22"/>
                <w:szCs w:val="22"/>
              </w:rPr>
              <w:t>3.942343</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color w:val="000000"/>
                <w:sz w:val="22"/>
                <w:szCs w:val="22"/>
              </w:rPr>
              <w:t>3,9457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42</w:t>
            </w:r>
          </w:p>
        </w:tc>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1000</w:t>
            </w:r>
          </w:p>
        </w:tc>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3,13</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eastAsiaTheme="minorEastAsia"/>
                <w:sz w:val="22"/>
                <w:szCs w:val="22"/>
              </w:rPr>
              <w:t>4,960</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color w:val="000000"/>
                <w:sz w:val="22"/>
                <w:szCs w:val="22"/>
              </w:rPr>
              <w:t>4,97934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45</w:t>
            </w:r>
          </w:p>
        </w:tc>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30</w:t>
            </w:r>
          </w:p>
        </w:tc>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4,80</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color w:val="000000"/>
                <w:sz w:val="22"/>
                <w:szCs w:val="22"/>
              </w:rPr>
              <w:t>3.942343</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color w:val="000000"/>
                <w:sz w:val="22"/>
                <w:szCs w:val="22"/>
              </w:rPr>
              <w:t>3,9457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eastAsia="Times New Roman"/>
                <w:color w:val="000000"/>
                <w:sz w:val="22"/>
                <w:szCs w:val="22"/>
              </w:rPr>
              <w:t>66</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eastAsia="Times New Roman"/>
                <w:color w:val="000000"/>
                <w:sz w:val="22"/>
                <w:szCs w:val="22"/>
              </w:rPr>
              <w:t>100</w:t>
            </w:r>
          </w:p>
        </w:tc>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2,42</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eastAsiaTheme="minorEastAsia"/>
                <w:sz w:val="22"/>
                <w:szCs w:val="22"/>
              </w:rPr>
              <w:t>4,799</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color w:val="000000"/>
                <w:sz w:val="22"/>
                <w:szCs w:val="22"/>
              </w:rPr>
              <w:t>4,76276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eastAsia="Times New Roman"/>
                <w:color w:val="000000"/>
                <w:sz w:val="22"/>
                <w:szCs w:val="22"/>
              </w:rPr>
              <w:t>67</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eastAsia="Times New Roman"/>
                <w:color w:val="000000"/>
                <w:sz w:val="22"/>
                <w:szCs w:val="22"/>
              </w:rPr>
              <w:t>30</w:t>
            </w:r>
          </w:p>
        </w:tc>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5,88</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color w:val="000000"/>
                <w:sz w:val="22"/>
                <w:szCs w:val="22"/>
              </w:rPr>
              <w:t>3.942343</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color w:val="000000"/>
                <w:sz w:val="22"/>
                <w:szCs w:val="22"/>
              </w:rPr>
              <w:t>3,9457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eastAsia="Times New Roman"/>
                <w:color w:val="000000"/>
                <w:sz w:val="22"/>
                <w:szCs w:val="22"/>
              </w:rPr>
              <w:t>176</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eastAsia="Times New Roman"/>
                <w:color w:val="000000"/>
                <w:sz w:val="22"/>
                <w:szCs w:val="22"/>
              </w:rPr>
              <w:t>100</w:t>
            </w:r>
          </w:p>
        </w:tc>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5,02</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eastAsiaTheme="minorEastAsia"/>
                <w:sz w:val="22"/>
                <w:szCs w:val="22"/>
              </w:rPr>
              <w:t>4,799</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color w:val="000000"/>
                <w:sz w:val="22"/>
                <w:szCs w:val="22"/>
              </w:rPr>
              <w:t>4,76276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eastAsia="Times New Roman"/>
                <w:color w:val="000000"/>
                <w:sz w:val="22"/>
                <w:szCs w:val="22"/>
              </w:rPr>
              <w:t>189</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eastAsia="Times New Roman"/>
                <w:color w:val="000000"/>
                <w:sz w:val="22"/>
                <w:szCs w:val="22"/>
              </w:rPr>
              <w:t>100</w:t>
            </w:r>
          </w:p>
        </w:tc>
        <w:tc>
          <w:tcPr>
            <w:tcW w:w="0" w:type="auto"/>
            <w:vAlign w:val="center"/>
          </w:tcPr>
          <w:p>
            <w:pPr>
              <w:pStyle w:val="14"/>
              <w:autoSpaceDE w:val="0"/>
              <w:autoSpaceDN w:val="0"/>
              <w:adjustRightInd w:val="0"/>
              <w:spacing w:after="0" w:line="240" w:lineRule="auto"/>
              <w:ind w:left="0"/>
              <w:jc w:val="center"/>
              <w:rPr>
                <w:rFonts w:ascii="Times New Roman" w:hAnsi="Times New Roman"/>
                <w:color w:val="000000"/>
                <w:sz w:val="22"/>
                <w:szCs w:val="22"/>
              </w:rPr>
            </w:pPr>
            <w:r>
              <w:rPr>
                <w:rFonts w:ascii="Times New Roman" w:hAnsi="Times New Roman" w:eastAsia="Times New Roman"/>
                <w:color w:val="000000"/>
                <w:sz w:val="22"/>
                <w:szCs w:val="22"/>
              </w:rPr>
              <w:t>5,79</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eastAsiaTheme="minorEastAsia"/>
                <w:sz w:val="22"/>
                <w:szCs w:val="22"/>
              </w:rPr>
              <w:t>4,799</w:t>
            </w:r>
          </w:p>
        </w:tc>
        <w:tc>
          <w:tcPr>
            <w:tcW w:w="0" w:type="auto"/>
            <w:vAlign w:val="center"/>
          </w:tcPr>
          <w:p>
            <w:pPr>
              <w:pStyle w:val="14"/>
              <w:autoSpaceDE w:val="0"/>
              <w:autoSpaceDN w:val="0"/>
              <w:adjustRightInd w:val="0"/>
              <w:spacing w:after="0" w:line="240" w:lineRule="auto"/>
              <w:ind w:left="0"/>
              <w:jc w:val="center"/>
              <w:rPr>
                <w:rFonts w:ascii="Times New Roman" w:hAnsi="Times New Roman" w:eastAsia="Times New Roman"/>
                <w:color w:val="000000"/>
                <w:sz w:val="22"/>
                <w:szCs w:val="22"/>
              </w:rPr>
            </w:pPr>
            <w:r>
              <w:rPr>
                <w:rFonts w:ascii="Times New Roman" w:hAnsi="Times New Roman"/>
                <w:color w:val="000000"/>
                <w:sz w:val="22"/>
                <w:szCs w:val="22"/>
              </w:rPr>
              <w:t>4,76276</w:t>
            </w:r>
          </w:p>
        </w:tc>
      </w:tr>
    </w:tbl>
    <w:p>
      <w:pPr>
        <w:spacing w:after="0" w:line="240" w:lineRule="auto"/>
        <w:jc w:val="both"/>
        <w:rPr>
          <w:rFonts w:ascii="Times New Roman" w:hAnsi="Times New Roman"/>
          <w:sz w:val="22"/>
          <w:szCs w:val="22"/>
        </w:rPr>
      </w:pPr>
    </w:p>
    <w:p>
      <w:pPr>
        <w:spacing w:after="0" w:line="240" w:lineRule="auto"/>
        <w:jc w:val="center"/>
        <w:rPr>
          <w:sz w:val="22"/>
          <w:szCs w:val="22"/>
        </w:rPr>
      </w:pPr>
      <w:r>
        <w:rPr>
          <w:sz w:val="22"/>
          <w:szCs w:val="22"/>
        </w:rPr>
        <w:drawing>
          <wp:inline distT="0" distB="0" distL="0" distR="0">
            <wp:extent cx="4082415" cy="2493010"/>
            <wp:effectExtent l="4445" t="4445" r="15240" b="17145"/>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after="0" w:line="240" w:lineRule="auto"/>
        <w:jc w:val="center"/>
        <w:rPr>
          <w:sz w:val="22"/>
          <w:szCs w:val="22"/>
        </w:rPr>
      </w:pPr>
    </w:p>
    <w:p>
      <w:pPr>
        <w:spacing w:after="0" w:line="240" w:lineRule="auto"/>
        <w:jc w:val="center"/>
        <w:rPr>
          <w:rFonts w:ascii="Times New Roman" w:hAnsi="Times New Roman"/>
          <w:b/>
          <w:bCs/>
          <w:sz w:val="22"/>
          <w:szCs w:val="22"/>
        </w:rPr>
      </w:pPr>
      <w:r>
        <w:rPr>
          <w:rFonts w:ascii="Times New Roman" w:hAnsi="Times New Roman"/>
          <w:b/>
          <w:bCs/>
          <w:color w:val="000000"/>
          <w:sz w:val="22"/>
          <w:szCs w:val="22"/>
        </w:rPr>
        <w:t>Gambar 2.</w:t>
      </w:r>
      <w:r>
        <w:rPr>
          <w:b/>
          <w:bCs/>
          <w:sz w:val="22"/>
          <w:szCs w:val="22"/>
        </w:rPr>
        <w:t xml:space="preserve"> </w:t>
      </w:r>
      <w:r>
        <w:rPr>
          <w:rFonts w:ascii="Times New Roman" w:hAnsi="Times New Roman"/>
          <w:b/>
          <w:bCs/>
          <w:sz w:val="22"/>
          <w:szCs w:val="22"/>
        </w:rPr>
        <w:t>Grafik Perbandingan Hasil Pentanahan Elektroda Paralel (</w:t>
      </w:r>
      <w:r>
        <w:rPr>
          <w:rFonts w:ascii="Times New Roman" w:hAnsi="Times New Roman"/>
          <w:b/>
          <w:bCs/>
          <w:i/>
          <w:iCs/>
          <w:sz w:val="22"/>
          <w:szCs w:val="22"/>
        </w:rPr>
        <w:t>Multiple Rod</w:t>
      </w:r>
      <w:r>
        <w:rPr>
          <w:rFonts w:ascii="Times New Roman" w:hAnsi="Times New Roman"/>
          <w:b/>
          <w:bCs/>
          <w:sz w:val="22"/>
          <w:szCs w:val="22"/>
        </w:rPr>
        <w:t>)</w:t>
      </w:r>
    </w:p>
    <w:p>
      <w:pPr>
        <w:spacing w:after="0" w:line="240" w:lineRule="auto"/>
        <w:jc w:val="both"/>
        <w:rPr>
          <w:rFonts w:ascii="Times New Roman" w:hAnsi="Times New Roman"/>
          <w:sz w:val="22"/>
          <w:szCs w:val="22"/>
        </w:rPr>
      </w:pPr>
    </w:p>
    <w:p>
      <w:pPr>
        <w:autoSpaceDE w:val="0"/>
        <w:autoSpaceDN w:val="0"/>
        <w:adjustRightInd w:val="0"/>
        <w:spacing w:after="0" w:line="240" w:lineRule="auto"/>
        <w:ind w:firstLine="360"/>
        <w:jc w:val="both"/>
        <w:rPr>
          <w:rFonts w:ascii="Times New Roman" w:hAnsi="Times New Roman"/>
          <w:color w:val="000000"/>
          <w:sz w:val="22"/>
          <w:szCs w:val="22"/>
        </w:rPr>
      </w:pPr>
      <w:r>
        <w:rPr>
          <w:rFonts w:ascii="Times New Roman" w:hAnsi="Times New Roman"/>
          <w:color w:val="000000"/>
          <w:sz w:val="22"/>
          <w:szCs w:val="22"/>
        </w:rPr>
        <w:t xml:space="preserve">Berdasarkan tabel dan grafik hasil perbandingan nilai tahanan pentanahan baik pada saat pentanahan </w:t>
      </w:r>
      <w:r>
        <w:rPr>
          <w:rFonts w:ascii="Times New Roman" w:hAnsi="Times New Roman"/>
          <w:i/>
          <w:iCs/>
          <w:color w:val="000000"/>
          <w:sz w:val="22"/>
          <w:szCs w:val="22"/>
        </w:rPr>
        <w:t>single rod</w:t>
      </w:r>
      <w:r>
        <w:rPr>
          <w:rFonts w:ascii="Times New Roman" w:hAnsi="Times New Roman"/>
          <w:color w:val="000000"/>
          <w:sz w:val="22"/>
          <w:szCs w:val="22"/>
        </w:rPr>
        <w:t xml:space="preserve"> maupun </w:t>
      </w:r>
      <w:r>
        <w:rPr>
          <w:rFonts w:ascii="Times New Roman" w:hAnsi="Times New Roman"/>
          <w:i/>
          <w:iCs/>
          <w:color w:val="000000"/>
          <w:sz w:val="22"/>
          <w:szCs w:val="22"/>
        </w:rPr>
        <w:t>multiple rod</w:t>
      </w:r>
      <w:r>
        <w:rPr>
          <w:rFonts w:ascii="Times New Roman" w:hAnsi="Times New Roman"/>
          <w:color w:val="000000"/>
          <w:sz w:val="22"/>
          <w:szCs w:val="22"/>
        </w:rPr>
        <w:t>, maka didapatkan analisa sebagai berikut</w:t>
      </w:r>
    </w:p>
    <w:p>
      <w:pPr>
        <w:pStyle w:val="14"/>
        <w:numPr>
          <w:ilvl w:val="0"/>
          <w:numId w:val="2"/>
        </w:numPr>
        <w:autoSpaceDE w:val="0"/>
        <w:autoSpaceDN w:val="0"/>
        <w:adjustRightInd w:val="0"/>
        <w:spacing w:after="0" w:line="240" w:lineRule="auto"/>
        <w:ind w:left="426"/>
        <w:jc w:val="both"/>
        <w:rPr>
          <w:rFonts w:ascii="Times New Roman" w:hAnsi="Times New Roman"/>
          <w:color w:val="000000"/>
          <w:sz w:val="22"/>
          <w:szCs w:val="22"/>
        </w:rPr>
      </w:pPr>
      <w:r>
        <w:rPr>
          <w:rFonts w:ascii="Times New Roman" w:hAnsi="Times New Roman"/>
          <w:color w:val="000000"/>
          <w:sz w:val="22"/>
          <w:szCs w:val="22"/>
        </w:rPr>
        <w:t xml:space="preserve">Pada menara no. 13 yang berada pada daerah dengan kadar air cukup tinggi, dimana tahanan jenis tanah/ resistivitas yang disesuaikan menurut PUIL 2011 yaitu sebesar 30 </w:t>
      </w:r>
      <w:r>
        <w:rPr>
          <w:rFonts w:ascii="Times New Roman" w:hAnsi="Times New Roman" w:eastAsia="Times New Roman"/>
          <w:sz w:val="22"/>
          <w:szCs w:val="22"/>
        </w:rPr>
        <w:t>Ω, maka didapatkan</w:t>
      </w:r>
      <w:r>
        <w:rPr>
          <w:rFonts w:ascii="Times New Roman" w:hAnsi="Times New Roman"/>
          <w:color w:val="000000"/>
          <w:sz w:val="22"/>
          <w:szCs w:val="22"/>
        </w:rPr>
        <w:t xml:space="preserve"> nilai tahanan pentanahan sebesar </w:t>
      </w:r>
      <w:r>
        <w:rPr>
          <w:rFonts w:ascii="Times New Roman" w:hAnsi="Times New Roman" w:eastAsia="Times New Roman"/>
          <w:color w:val="000000"/>
          <w:sz w:val="22"/>
          <w:szCs w:val="22"/>
        </w:rPr>
        <w:t>23,1</w:t>
      </w:r>
      <w:r>
        <w:rPr>
          <w:rFonts w:ascii="Times New Roman" w:hAnsi="Times New Roman" w:eastAsia="Times New Roman"/>
          <w:sz w:val="22"/>
          <w:szCs w:val="22"/>
        </w:rPr>
        <w:t xml:space="preserve"> Ω</w:t>
      </w:r>
      <w:r>
        <w:rPr>
          <w:rFonts w:ascii="Times New Roman" w:hAnsi="Times New Roman" w:eastAsia="Times New Roman"/>
          <w:color w:val="000000"/>
          <w:sz w:val="22"/>
          <w:szCs w:val="22"/>
        </w:rPr>
        <w:t xml:space="preserve"> berdasarkan hasil di lapangan. Sedangkan menurut hasil perhitungan dengan rumus tahanan pentanahan hasil yang didapatkan adalah sebesar 6,970 </w:t>
      </w:r>
      <w:r>
        <w:rPr>
          <w:rFonts w:ascii="Times New Roman" w:hAnsi="Times New Roman" w:eastAsia="Times New Roman"/>
          <w:sz w:val="22"/>
          <w:szCs w:val="22"/>
        </w:rPr>
        <w:t xml:space="preserve">Ω dan berdasarkan hasil simulasi menggunakan Matlab GUI diperoleh nilai tahanan sebesar </w:t>
      </w:r>
      <w:r>
        <w:rPr>
          <w:rFonts w:ascii="Times New Roman" w:hAnsi="Times New Roman" w:eastAsia="Times New Roman"/>
          <w:color w:val="000000"/>
          <w:sz w:val="22"/>
          <w:szCs w:val="22"/>
        </w:rPr>
        <w:t xml:space="preserve">6,966 </w:t>
      </w:r>
      <w:r>
        <w:rPr>
          <w:rFonts w:ascii="Times New Roman" w:hAnsi="Times New Roman" w:eastAsia="Times New Roman"/>
          <w:sz w:val="22"/>
          <w:szCs w:val="22"/>
        </w:rPr>
        <w:t>Ω.</w:t>
      </w:r>
      <w:r>
        <w:rPr>
          <w:rFonts w:ascii="Times New Roman" w:hAnsi="Times New Roman"/>
          <w:color w:val="000000"/>
          <w:sz w:val="22"/>
          <w:szCs w:val="22"/>
        </w:rPr>
        <w:t xml:space="preserve"> Dari ketiga percobaan tersebut menghasilkan nilai yang berbeda, perbedaan yang sangat jauh ditunjukkan pada hasil pengukuran dari </w:t>
      </w:r>
      <w:r>
        <w:rPr>
          <w:rFonts w:ascii="Times New Roman" w:hAnsi="Times New Roman"/>
          <w:i/>
          <w:iCs/>
          <w:color w:val="000000"/>
          <w:sz w:val="22"/>
          <w:szCs w:val="22"/>
        </w:rPr>
        <w:t>Earth Tester</w:t>
      </w:r>
      <w:r>
        <w:rPr>
          <w:rFonts w:ascii="Times New Roman" w:hAnsi="Times New Roman"/>
          <w:color w:val="000000"/>
          <w:sz w:val="22"/>
          <w:szCs w:val="22"/>
        </w:rPr>
        <w:t xml:space="preserve">, hal ini terjadi karena adanya perbedaan kondisi tanah pada saat pengukuran dilapangan seperti kadar air dan kelembapan tanah. </w:t>
      </w:r>
    </w:p>
    <w:p>
      <w:pPr>
        <w:pStyle w:val="14"/>
        <w:autoSpaceDE w:val="0"/>
        <w:autoSpaceDN w:val="0"/>
        <w:adjustRightInd w:val="0"/>
        <w:spacing w:after="0" w:line="240" w:lineRule="auto"/>
        <w:ind w:left="426"/>
        <w:jc w:val="both"/>
        <w:rPr>
          <w:rFonts w:ascii="Times New Roman" w:hAnsi="Times New Roman"/>
          <w:color w:val="000000"/>
          <w:sz w:val="22"/>
          <w:szCs w:val="22"/>
        </w:rPr>
      </w:pPr>
      <w:r>
        <w:rPr>
          <w:rFonts w:ascii="Times New Roman" w:hAnsi="Times New Roman"/>
          <w:color w:val="000000"/>
          <w:sz w:val="22"/>
          <w:szCs w:val="22"/>
        </w:rPr>
        <w:t xml:space="preserve">Untuk menurunkan nilai tahanan pentanahan pada tower no. </w:t>
      </w:r>
      <w:r>
        <w:rPr>
          <w:rFonts w:ascii="Times New Roman" w:hAnsi="Times New Roman" w:eastAsia="Times New Roman"/>
          <w:sz w:val="22"/>
          <w:szCs w:val="22"/>
        </w:rPr>
        <w:t xml:space="preserve">13 agar </w:t>
      </w:r>
      <w:r>
        <w:rPr>
          <w:rFonts w:ascii="Times New Roman" w:hAnsi="Times New Roman" w:eastAsia="Times New Roman"/>
          <w:color w:val="000000"/>
          <w:sz w:val="22"/>
          <w:szCs w:val="22"/>
        </w:rPr>
        <w:t xml:space="preserve">&lt;5 </w:t>
      </w:r>
      <w:r>
        <w:rPr>
          <w:rFonts w:ascii="Times New Roman" w:hAnsi="Times New Roman" w:eastAsia="Times New Roman"/>
          <w:sz w:val="22"/>
          <w:szCs w:val="22"/>
        </w:rPr>
        <w:t>Ω,</w:t>
      </w:r>
      <w:r>
        <w:rPr>
          <w:rFonts w:ascii="Times New Roman" w:hAnsi="Times New Roman"/>
          <w:color w:val="000000"/>
          <w:sz w:val="22"/>
          <w:szCs w:val="22"/>
        </w:rPr>
        <w:t xml:space="preserve"> dilakukan instalasi elektroda secara paralel oleh ULTG Bukittinggi pada kedalaman 2 m dengan jarak 2 m antar elektroda, sehingga menghasilkan nilai tahanan sebesar </w:t>
      </w:r>
      <w:r>
        <w:rPr>
          <w:rFonts w:ascii="Times New Roman" w:hAnsi="Times New Roman" w:eastAsia="Times New Roman"/>
          <w:color w:val="000000"/>
          <w:sz w:val="22"/>
          <w:szCs w:val="22"/>
        </w:rPr>
        <w:t xml:space="preserve">0,09 </w:t>
      </w:r>
      <w:r>
        <w:rPr>
          <w:rFonts w:ascii="Times New Roman" w:hAnsi="Times New Roman" w:eastAsia="Times New Roman"/>
          <w:sz w:val="22"/>
          <w:szCs w:val="22"/>
        </w:rPr>
        <w:t>Ω berdasarkan pengukuran. Pada kondisi ini evaluasi yang dilakukan penulis adalah dengan penanaman</w:t>
      </w:r>
      <w:r>
        <w:rPr>
          <w:rFonts w:ascii="Times New Roman" w:hAnsi="Times New Roman"/>
          <w:color w:val="000000"/>
          <w:sz w:val="22"/>
          <w:szCs w:val="22"/>
        </w:rPr>
        <w:t xml:space="preserve"> elektroda secara paralel pada kedalaman 2 m dengan jarak antar elektroda 5 m sehingga dihasilkan tahanan pentanahan sebesar </w:t>
      </w:r>
      <w:r>
        <w:rPr>
          <w:rFonts w:ascii="Times New Roman" w:hAnsi="Times New Roman" w:eastAsia="Times New Roman"/>
          <w:color w:val="000000"/>
          <w:sz w:val="22"/>
          <w:szCs w:val="22"/>
        </w:rPr>
        <w:t xml:space="preserve">3,942 </w:t>
      </w:r>
      <w:r>
        <w:rPr>
          <w:rFonts w:ascii="Times New Roman" w:hAnsi="Times New Roman" w:eastAsia="Times New Roman"/>
          <w:sz w:val="22"/>
          <w:szCs w:val="22"/>
        </w:rPr>
        <w:t>Ω (</w:t>
      </w:r>
      <w:r>
        <w:rPr>
          <w:rFonts w:ascii="Times New Roman" w:hAnsi="Times New Roman" w:eastAsia="Times New Roman"/>
          <w:color w:val="000000"/>
          <w:sz w:val="22"/>
          <w:szCs w:val="22"/>
        </w:rPr>
        <w:t xml:space="preserve">&lt;5 </w:t>
      </w:r>
      <w:r>
        <w:rPr>
          <w:rFonts w:ascii="Times New Roman" w:hAnsi="Times New Roman" w:eastAsia="Times New Roman"/>
          <w:sz w:val="22"/>
          <w:szCs w:val="22"/>
        </w:rPr>
        <w:t>Ω). P</w:t>
      </w:r>
      <w:r>
        <w:rPr>
          <w:rFonts w:ascii="Times New Roman" w:hAnsi="Times New Roman"/>
          <w:color w:val="000000"/>
          <w:sz w:val="22"/>
          <w:szCs w:val="22"/>
        </w:rPr>
        <w:t>engaturan jarak antar elektroda dibuat jauh supaya nilai tahanan pentanahan elektroda dapat bertahan lama pada nilai yang diizinkan</w:t>
      </w:r>
      <w:r>
        <w:rPr>
          <w:rFonts w:ascii="Times New Roman" w:hAnsi="Times New Roman" w:eastAsia="Times New Roman"/>
          <w:sz w:val="22"/>
          <w:szCs w:val="22"/>
        </w:rPr>
        <w:t>, karna semakin jauh jarak elektroda maka nilai tahanan pentanahan akan semakin kecil.</w:t>
      </w:r>
    </w:p>
    <w:p>
      <w:pPr>
        <w:pStyle w:val="14"/>
        <w:numPr>
          <w:ilvl w:val="0"/>
          <w:numId w:val="2"/>
        </w:numPr>
        <w:autoSpaceDE w:val="0"/>
        <w:autoSpaceDN w:val="0"/>
        <w:adjustRightInd w:val="0"/>
        <w:spacing w:after="0" w:line="240" w:lineRule="auto"/>
        <w:ind w:left="426"/>
        <w:jc w:val="both"/>
        <w:rPr>
          <w:rFonts w:ascii="Times New Roman" w:hAnsi="Times New Roman"/>
          <w:color w:val="000000"/>
          <w:sz w:val="22"/>
          <w:szCs w:val="22"/>
        </w:rPr>
      </w:pPr>
      <w:r>
        <w:rPr>
          <w:rFonts w:ascii="Times New Roman" w:hAnsi="Times New Roman"/>
          <w:color w:val="000000"/>
          <w:sz w:val="22"/>
          <w:szCs w:val="22"/>
        </w:rPr>
        <w:t>Pada menara no. 18 untuk menurunkan nilai tahanan pentanahan menara tersebut</w:t>
      </w:r>
      <w:r>
        <w:rPr>
          <w:rFonts w:ascii="Times New Roman" w:hAnsi="Times New Roman" w:eastAsia="Times New Roman"/>
          <w:sz w:val="22"/>
          <w:szCs w:val="22"/>
        </w:rPr>
        <w:t xml:space="preserve"> agar </w:t>
      </w:r>
      <w:r>
        <w:rPr>
          <w:rFonts w:ascii="Times New Roman" w:hAnsi="Times New Roman" w:eastAsia="Times New Roman"/>
          <w:color w:val="000000"/>
          <w:sz w:val="22"/>
          <w:szCs w:val="22"/>
        </w:rPr>
        <w:t xml:space="preserve">&lt;5 </w:t>
      </w:r>
      <w:r>
        <w:rPr>
          <w:rFonts w:ascii="Times New Roman" w:hAnsi="Times New Roman" w:eastAsia="Times New Roman"/>
          <w:sz w:val="22"/>
          <w:szCs w:val="22"/>
        </w:rPr>
        <w:t>Ω,</w:t>
      </w:r>
      <w:r>
        <w:rPr>
          <w:rFonts w:ascii="Times New Roman" w:hAnsi="Times New Roman"/>
          <w:color w:val="000000"/>
          <w:sz w:val="22"/>
          <w:szCs w:val="22"/>
        </w:rPr>
        <w:t xml:space="preserve"> dilakukan instalasi elektroda secara paralel oleh ULTG Bukittinggi pada kedalaman 2 m dengan jarak 2 m antar elektroda, sehingga menghasilkan nilai tahanan sebesar </w:t>
      </w:r>
      <w:r>
        <w:rPr>
          <w:rFonts w:ascii="Times New Roman" w:hAnsi="Times New Roman" w:eastAsia="Times New Roman"/>
          <w:color w:val="000000"/>
          <w:sz w:val="22"/>
          <w:szCs w:val="22"/>
        </w:rPr>
        <w:t xml:space="preserve">8,12 </w:t>
      </w:r>
      <w:r>
        <w:rPr>
          <w:rFonts w:ascii="Times New Roman" w:hAnsi="Times New Roman" w:eastAsia="Times New Roman"/>
          <w:sz w:val="22"/>
          <w:szCs w:val="22"/>
        </w:rPr>
        <w:t>Ω berdasarkan pengukuran. Pada kondisi ini evaluasi yang dilakukan penulis adalah dengan penanaman</w:t>
      </w:r>
      <w:r>
        <w:rPr>
          <w:rFonts w:ascii="Times New Roman" w:hAnsi="Times New Roman"/>
          <w:color w:val="000000"/>
          <w:sz w:val="22"/>
          <w:szCs w:val="22"/>
        </w:rPr>
        <w:t xml:space="preserve"> elektroda secara paralel pada kedalaman 2 m dengan jarak antar elektroda 5 m sehingga dihasilkan tahanan pentanahan sebesar </w:t>
      </w:r>
      <w:r>
        <w:rPr>
          <w:rFonts w:ascii="Times New Roman" w:hAnsi="Times New Roman" w:eastAsia="Times New Roman"/>
          <w:color w:val="000000"/>
          <w:sz w:val="22"/>
          <w:szCs w:val="22"/>
        </w:rPr>
        <w:t xml:space="preserve">3,942 </w:t>
      </w:r>
      <w:r>
        <w:rPr>
          <w:rFonts w:ascii="Times New Roman" w:hAnsi="Times New Roman" w:eastAsia="Times New Roman"/>
          <w:sz w:val="22"/>
          <w:szCs w:val="22"/>
        </w:rPr>
        <w:t>Ω (</w:t>
      </w:r>
      <w:r>
        <w:rPr>
          <w:rFonts w:ascii="Times New Roman" w:hAnsi="Times New Roman" w:eastAsia="Times New Roman"/>
          <w:color w:val="000000"/>
          <w:sz w:val="22"/>
          <w:szCs w:val="22"/>
        </w:rPr>
        <w:t xml:space="preserve">&lt;5 </w:t>
      </w:r>
      <w:r>
        <w:rPr>
          <w:rFonts w:ascii="Times New Roman" w:hAnsi="Times New Roman" w:eastAsia="Times New Roman"/>
          <w:sz w:val="22"/>
          <w:szCs w:val="22"/>
        </w:rPr>
        <w:t xml:space="preserve">Ω). Terdapat selisih nilai sebesar </w:t>
      </w:r>
      <w:r>
        <w:rPr>
          <w:rFonts w:ascii="Times New Roman" w:hAnsi="Times New Roman" w:eastAsia="Times New Roman"/>
          <w:color w:val="000000"/>
          <w:sz w:val="22"/>
          <w:szCs w:val="22"/>
        </w:rPr>
        <w:t xml:space="preserve">4,178 </w:t>
      </w:r>
      <w:r>
        <w:rPr>
          <w:rFonts w:ascii="Times New Roman" w:hAnsi="Times New Roman" w:eastAsia="Times New Roman"/>
          <w:sz w:val="22"/>
          <w:szCs w:val="22"/>
        </w:rPr>
        <w:t xml:space="preserve">Ω antara instalasi dari pihak PLN dengan hasil evaluasi yang disarankan penulis. Sehingga untuk mendapatkan nilai tahanan yang lebih rendah dapat dilakukan instalasi sesuai hasil evaluasi penulis.  </w:t>
      </w:r>
    </w:p>
    <w:p>
      <w:pPr>
        <w:pStyle w:val="14"/>
        <w:numPr>
          <w:ilvl w:val="0"/>
          <w:numId w:val="2"/>
        </w:numPr>
        <w:autoSpaceDE w:val="0"/>
        <w:autoSpaceDN w:val="0"/>
        <w:adjustRightInd w:val="0"/>
        <w:spacing w:after="0" w:line="240" w:lineRule="auto"/>
        <w:ind w:left="426"/>
        <w:jc w:val="both"/>
        <w:rPr>
          <w:rFonts w:ascii="Times New Roman" w:hAnsi="Times New Roman"/>
          <w:color w:val="000000"/>
          <w:sz w:val="22"/>
          <w:szCs w:val="22"/>
        </w:rPr>
      </w:pPr>
      <w:r>
        <w:rPr>
          <w:rFonts w:ascii="Times New Roman" w:hAnsi="Times New Roman" w:eastAsia="Times New Roman"/>
          <w:sz w:val="22"/>
          <w:szCs w:val="22"/>
        </w:rPr>
        <w:t xml:space="preserve">Pada menara nomor 22 untuk menurunkan nilai tahanan pentanahan yang semula </w:t>
      </w:r>
      <w:r>
        <w:rPr>
          <w:rFonts w:ascii="Times New Roman" w:hAnsi="Times New Roman" w:eastAsia="Times New Roman"/>
          <w:color w:val="000000"/>
          <w:sz w:val="22"/>
          <w:szCs w:val="22"/>
        </w:rPr>
        <w:t xml:space="preserve">70,3 </w:t>
      </w:r>
      <w:r>
        <w:rPr>
          <w:rFonts w:ascii="Times New Roman" w:hAnsi="Times New Roman" w:eastAsia="Times New Roman"/>
          <w:sz w:val="22"/>
          <w:szCs w:val="22"/>
        </w:rPr>
        <w:t xml:space="preserve">Ω menjadi </w:t>
      </w:r>
      <w:r>
        <w:rPr>
          <w:rFonts w:ascii="Times New Roman" w:hAnsi="Times New Roman" w:eastAsia="Times New Roman"/>
          <w:color w:val="000000"/>
          <w:sz w:val="22"/>
          <w:szCs w:val="22"/>
        </w:rPr>
        <w:t xml:space="preserve">&lt;5 </w:t>
      </w:r>
      <w:r>
        <w:rPr>
          <w:rFonts w:ascii="Times New Roman" w:hAnsi="Times New Roman" w:eastAsia="Times New Roman"/>
          <w:sz w:val="22"/>
          <w:szCs w:val="22"/>
        </w:rPr>
        <w:t xml:space="preserve">Ω, ULTG bukitttinggi memberikan perlakuan yang sama untuk instalasi elektroda pentanahannya yaitu dengan penanaman elektroda pada kedalaman 2 m dan dengan jarak 2 m antar elekroda, dan hasil yang didapat adalah sebesar </w:t>
      </w:r>
      <w:r>
        <w:rPr>
          <w:rFonts w:ascii="Times New Roman" w:hAnsi="Times New Roman" w:eastAsia="Times New Roman"/>
          <w:color w:val="000000"/>
          <w:sz w:val="22"/>
          <w:szCs w:val="22"/>
        </w:rPr>
        <w:t xml:space="preserve">7,69 </w:t>
      </w:r>
      <w:r>
        <w:rPr>
          <w:rFonts w:ascii="Times New Roman" w:hAnsi="Times New Roman" w:eastAsia="Times New Roman"/>
          <w:sz w:val="22"/>
          <w:szCs w:val="22"/>
        </w:rPr>
        <w:t xml:space="preserve">Ω, sedangkan penulis melakukan perhitungan dengan kedalaman elektroda sejauh 18 m dengan jarak antar elektroda sejauh 36 m sehingga diperoleh hasil </w:t>
      </w:r>
      <w:r>
        <w:rPr>
          <w:rFonts w:ascii="Times New Roman" w:hAnsi="Times New Roman" w:eastAsia="Times New Roman"/>
          <w:color w:val="000000"/>
          <w:sz w:val="22"/>
          <w:szCs w:val="22"/>
        </w:rPr>
        <w:t xml:space="preserve">&lt;5 </w:t>
      </w:r>
      <w:r>
        <w:rPr>
          <w:rFonts w:ascii="Times New Roman" w:hAnsi="Times New Roman" w:eastAsia="Times New Roman"/>
          <w:sz w:val="22"/>
          <w:szCs w:val="22"/>
        </w:rPr>
        <w:t xml:space="preserve">Ω, yaitu </w:t>
      </w:r>
      <w:r>
        <w:rPr>
          <w:rFonts w:ascii="Times New Roman" w:hAnsi="Times New Roman" w:eastAsiaTheme="minorEastAsia"/>
          <w:sz w:val="22"/>
          <w:szCs w:val="22"/>
        </w:rPr>
        <w:t xml:space="preserve">4,931 </w:t>
      </w:r>
      <w:r>
        <w:rPr>
          <w:rFonts w:ascii="Times New Roman" w:hAnsi="Times New Roman" w:eastAsia="Times New Roman"/>
          <w:sz w:val="22"/>
          <w:szCs w:val="22"/>
        </w:rPr>
        <w:t>Ω.</w:t>
      </w:r>
    </w:p>
    <w:p>
      <w:pPr>
        <w:pStyle w:val="14"/>
        <w:numPr>
          <w:ilvl w:val="0"/>
          <w:numId w:val="2"/>
        </w:numPr>
        <w:autoSpaceDE w:val="0"/>
        <w:autoSpaceDN w:val="0"/>
        <w:adjustRightInd w:val="0"/>
        <w:spacing w:after="0" w:line="240" w:lineRule="auto"/>
        <w:ind w:left="426"/>
        <w:jc w:val="both"/>
        <w:rPr>
          <w:rFonts w:ascii="Times New Roman" w:hAnsi="Times New Roman"/>
          <w:color w:val="000000"/>
          <w:sz w:val="22"/>
          <w:szCs w:val="22"/>
        </w:rPr>
      </w:pPr>
      <w:r>
        <w:rPr>
          <w:rFonts w:ascii="Times New Roman" w:hAnsi="Times New Roman" w:eastAsia="Times New Roman"/>
          <w:sz w:val="22"/>
          <w:szCs w:val="22"/>
        </w:rPr>
        <w:t xml:space="preserve">Pada menara nomor 34, 36, 45, dan 67 untuk menurunkan nilai tahanan pentanahannya, dilakukan instalasi elektroda pentanahan sama dengan menara lainnya yaitu dengan penanaman elektroda pada kedalaman 2 m dan dengan jarak 2 m antar elekroda, dimana hasil yang didapat  pada masing-masing menara adalah sebesar </w:t>
      </w:r>
      <w:r>
        <w:rPr>
          <w:rFonts w:ascii="Times New Roman" w:hAnsi="Times New Roman" w:eastAsia="Times New Roman"/>
          <w:color w:val="000000"/>
          <w:sz w:val="22"/>
          <w:szCs w:val="22"/>
        </w:rPr>
        <w:t xml:space="preserve">2,13 </w:t>
      </w:r>
      <w:r>
        <w:rPr>
          <w:rFonts w:ascii="Times New Roman" w:hAnsi="Times New Roman" w:eastAsia="Times New Roman"/>
          <w:sz w:val="22"/>
          <w:szCs w:val="22"/>
        </w:rPr>
        <w:t xml:space="preserve">Ω, </w:t>
      </w:r>
      <w:r>
        <w:rPr>
          <w:rFonts w:ascii="Times New Roman" w:hAnsi="Times New Roman" w:eastAsia="Times New Roman"/>
          <w:color w:val="000000"/>
          <w:sz w:val="22"/>
          <w:szCs w:val="22"/>
        </w:rPr>
        <w:t xml:space="preserve">5,67 </w:t>
      </w:r>
      <w:r>
        <w:rPr>
          <w:rFonts w:ascii="Times New Roman" w:hAnsi="Times New Roman" w:eastAsia="Times New Roman"/>
          <w:sz w:val="22"/>
          <w:szCs w:val="22"/>
        </w:rPr>
        <w:t xml:space="preserve">Ω, </w:t>
      </w:r>
      <w:r>
        <w:rPr>
          <w:rFonts w:ascii="Times New Roman" w:hAnsi="Times New Roman" w:eastAsia="Times New Roman"/>
          <w:color w:val="000000"/>
          <w:sz w:val="22"/>
          <w:szCs w:val="22"/>
        </w:rPr>
        <w:t xml:space="preserve">4,80 </w:t>
      </w:r>
      <w:r>
        <w:rPr>
          <w:rFonts w:ascii="Times New Roman" w:hAnsi="Times New Roman" w:eastAsia="Times New Roman"/>
          <w:sz w:val="22"/>
          <w:szCs w:val="22"/>
        </w:rPr>
        <w:t xml:space="preserve">Ω, dan </w:t>
      </w:r>
      <w:r>
        <w:rPr>
          <w:rFonts w:ascii="Times New Roman" w:hAnsi="Times New Roman" w:eastAsia="Times New Roman"/>
          <w:color w:val="000000"/>
          <w:sz w:val="22"/>
          <w:szCs w:val="22"/>
        </w:rPr>
        <w:t xml:space="preserve">5,88 </w:t>
      </w:r>
      <w:r>
        <w:rPr>
          <w:rFonts w:ascii="Times New Roman" w:hAnsi="Times New Roman" w:eastAsia="Times New Roman"/>
          <w:sz w:val="22"/>
          <w:szCs w:val="22"/>
        </w:rPr>
        <w:t xml:space="preserve">Ω. Maka dari itu penulis membuat perhitungan dengan kedalaman elektroda sejauh 2 m dengan jarak antar elektroda sejauh 5 m sehingga diperoleh hasil yaitu </w:t>
      </w:r>
      <w:r>
        <w:rPr>
          <w:rFonts w:ascii="Times New Roman" w:hAnsi="Times New Roman" w:eastAsiaTheme="minorEastAsia"/>
          <w:sz w:val="22"/>
          <w:szCs w:val="22"/>
        </w:rPr>
        <w:t xml:space="preserve">3,94 </w:t>
      </w:r>
      <w:r>
        <w:rPr>
          <w:rFonts w:ascii="Times New Roman" w:hAnsi="Times New Roman" w:eastAsia="Times New Roman"/>
          <w:sz w:val="22"/>
          <w:szCs w:val="22"/>
        </w:rPr>
        <w:t>Ω. Hasil yyang diperoleh akan sama karena menara-menara tersebut disumsikan mempunyai nilai tahanan jenis tanah yang sama (30</w:t>
      </w:r>
      <w:r>
        <w:rPr>
          <w:rFonts w:ascii="Times New Roman" w:hAnsi="Times New Roman" w:eastAsia="Times New Roman"/>
          <w:color w:val="000000"/>
          <w:sz w:val="22"/>
          <w:szCs w:val="22"/>
        </w:rPr>
        <w:t xml:space="preserve"> </w:t>
      </w:r>
      <w:r>
        <w:rPr>
          <w:rFonts w:ascii="Times New Roman" w:hAnsi="Times New Roman" w:eastAsia="Times New Roman"/>
          <w:sz w:val="22"/>
          <w:szCs w:val="22"/>
        </w:rPr>
        <w:t>Ωm)  berdasarkan letak menara sesuai PUIL 2011.</w:t>
      </w:r>
    </w:p>
    <w:p>
      <w:pPr>
        <w:pStyle w:val="14"/>
        <w:numPr>
          <w:ilvl w:val="0"/>
          <w:numId w:val="2"/>
        </w:numPr>
        <w:autoSpaceDE w:val="0"/>
        <w:autoSpaceDN w:val="0"/>
        <w:adjustRightInd w:val="0"/>
        <w:spacing w:after="0" w:line="240" w:lineRule="auto"/>
        <w:ind w:left="426"/>
        <w:jc w:val="both"/>
        <w:rPr>
          <w:rFonts w:ascii="Times New Roman" w:hAnsi="Times New Roman"/>
          <w:color w:val="000000"/>
          <w:sz w:val="22"/>
          <w:szCs w:val="22"/>
        </w:rPr>
      </w:pPr>
      <w:r>
        <w:rPr>
          <w:rFonts w:ascii="Times New Roman" w:hAnsi="Times New Roman" w:eastAsia="Times New Roman"/>
          <w:sz w:val="22"/>
          <w:szCs w:val="22"/>
        </w:rPr>
        <w:t xml:space="preserve">Pada menara nomor 66, 176, dan 189 yang diasumsikan memiliki nilai tahanan jenis tanah/ resistivitas yang sama yaitu sebesar </w:t>
      </w:r>
      <w:r>
        <w:rPr>
          <w:rFonts w:ascii="Times New Roman" w:hAnsi="Times New Roman" w:eastAsiaTheme="minorEastAsia"/>
          <w:sz w:val="22"/>
          <w:szCs w:val="22"/>
        </w:rPr>
        <w:t xml:space="preserve">100 </w:t>
      </w:r>
      <w:r>
        <w:rPr>
          <w:rFonts w:ascii="Times New Roman" w:hAnsi="Times New Roman" w:eastAsia="Times New Roman"/>
          <w:sz w:val="22"/>
          <w:szCs w:val="22"/>
        </w:rPr>
        <w:t xml:space="preserve">Ωm juga dilakukan instalasi elektroda pentanahan sama dengan menara lainnya yaitu dengan penanaman elektroda pada kedalaman 2 m dan dengan jarak 2 m antar elekroda, dimana hasil yang didapat  pada masing-masing menara adalah sebesar </w:t>
      </w:r>
      <w:r>
        <w:rPr>
          <w:rFonts w:ascii="Times New Roman" w:hAnsi="Times New Roman" w:eastAsia="Times New Roman"/>
          <w:color w:val="000000"/>
          <w:sz w:val="22"/>
          <w:szCs w:val="22"/>
        </w:rPr>
        <w:t xml:space="preserve">2,42 </w:t>
      </w:r>
      <w:r>
        <w:rPr>
          <w:rFonts w:ascii="Times New Roman" w:hAnsi="Times New Roman" w:eastAsia="Times New Roman"/>
          <w:sz w:val="22"/>
          <w:szCs w:val="22"/>
        </w:rPr>
        <w:t xml:space="preserve">Ω, </w:t>
      </w:r>
      <w:r>
        <w:rPr>
          <w:rFonts w:ascii="Times New Roman" w:hAnsi="Times New Roman" w:eastAsia="Times New Roman"/>
          <w:color w:val="000000"/>
          <w:sz w:val="22"/>
          <w:szCs w:val="22"/>
        </w:rPr>
        <w:t xml:space="preserve">5,02 </w:t>
      </w:r>
      <w:r>
        <w:rPr>
          <w:rFonts w:ascii="Times New Roman" w:hAnsi="Times New Roman" w:eastAsia="Times New Roman"/>
          <w:sz w:val="22"/>
          <w:szCs w:val="22"/>
        </w:rPr>
        <w:t xml:space="preserve">Ω, dan </w:t>
      </w:r>
      <w:r>
        <w:rPr>
          <w:rFonts w:ascii="Times New Roman" w:hAnsi="Times New Roman" w:eastAsia="Times New Roman"/>
          <w:color w:val="000000"/>
          <w:sz w:val="22"/>
          <w:szCs w:val="22"/>
        </w:rPr>
        <w:t xml:space="preserve">5,79 </w:t>
      </w:r>
      <w:r>
        <w:rPr>
          <w:rFonts w:ascii="Times New Roman" w:hAnsi="Times New Roman" w:eastAsia="Times New Roman"/>
          <w:sz w:val="22"/>
          <w:szCs w:val="22"/>
        </w:rPr>
        <w:t xml:space="preserve">Ω. Untuk itu penulis membuat perhitungan dengan kedalaman elektroda sejauh 8 m dengan jarak antar elektroda sejauh 16 m sehingga diperoleh hasil tahanan pentanahan yaitu </w:t>
      </w:r>
      <w:r>
        <w:rPr>
          <w:rFonts w:ascii="Times New Roman" w:hAnsi="Times New Roman" w:eastAsiaTheme="minorEastAsia"/>
          <w:sz w:val="22"/>
          <w:szCs w:val="22"/>
        </w:rPr>
        <w:t xml:space="preserve">4,799 </w:t>
      </w:r>
      <w:r>
        <w:rPr>
          <w:rFonts w:ascii="Times New Roman" w:hAnsi="Times New Roman" w:eastAsia="Times New Roman"/>
          <w:sz w:val="22"/>
          <w:szCs w:val="22"/>
        </w:rPr>
        <w:t>Ω. Hasil yang diperoleh akan sama karena menara-menara tersebut disumsikan mempunyai nilai tahanan jenis tanah yang sama berdasarkan letak menara sesuai PUIL 2011</w:t>
      </w:r>
      <w:r>
        <w:rPr>
          <w:rFonts w:ascii="Times New Roman" w:hAnsi="Times New Roman" w:eastAsia="Times New Roman"/>
          <w:sz w:val="22"/>
          <w:szCs w:val="22"/>
          <w:lang w:val="id-ID"/>
        </w:rPr>
        <w:t>.</w:t>
      </w:r>
    </w:p>
    <w:p>
      <w:pPr>
        <w:pStyle w:val="2"/>
        <w:suppressAutoHyphens/>
        <w:rPr>
          <w:rFonts w:ascii="Calibri" w:hAnsi="Calibri"/>
          <w:b w:val="0"/>
          <w:i w:val="0"/>
          <w:sz w:val="22"/>
          <w:szCs w:val="22"/>
        </w:rPr>
      </w:pPr>
    </w:p>
    <w:p>
      <w:pPr>
        <w:pStyle w:val="2"/>
        <w:numPr>
          <w:ilvl w:val="0"/>
          <w:numId w:val="1"/>
        </w:numPr>
        <w:suppressAutoHyphens/>
        <w:ind w:left="0" w:leftChars="0" w:firstLine="0" w:firstLineChars="0"/>
        <w:rPr>
          <w:i w:val="0"/>
          <w:sz w:val="22"/>
          <w:szCs w:val="22"/>
        </w:rPr>
      </w:pPr>
      <w:r>
        <w:rPr>
          <w:i w:val="0"/>
          <w:sz w:val="22"/>
          <w:szCs w:val="22"/>
        </w:rPr>
        <w:t>KESIMPULAN</w:t>
      </w:r>
    </w:p>
    <w:p>
      <w:pPr>
        <w:spacing w:after="0" w:line="240" w:lineRule="auto"/>
        <w:ind w:firstLine="360"/>
        <w:jc w:val="both"/>
        <w:rPr>
          <w:rFonts w:ascii="Times New Roman" w:hAnsi="Times New Roman" w:eastAsia="Times New Roman"/>
          <w:sz w:val="22"/>
          <w:szCs w:val="22"/>
        </w:rPr>
      </w:pPr>
      <w:r>
        <w:rPr>
          <w:rFonts w:ascii="Times New Roman" w:hAnsi="Times New Roman" w:eastAsia="Times New Roman"/>
          <w:sz w:val="22"/>
          <w:szCs w:val="22"/>
        </w:rPr>
        <w:t xml:space="preserve">Berdasarkan penelitian dan analisa yang telah dibahas, dapat disimpulkan bahwa </w:t>
      </w:r>
      <w:r>
        <w:rPr>
          <w:rFonts w:ascii="Times New Roman" w:hAnsi="Times New Roman"/>
          <w:sz w:val="22"/>
          <w:szCs w:val="22"/>
        </w:rPr>
        <w:t xml:space="preserve">untuk kondisi tahanan pentanahan pada 11 menara yang berada di saluran transmisi SUTT 150 KV Maninjau – Simpang Empat, didapatkan data pentanahan dengan nilai yang relatif tinggi dan melebihi nilai tahanan yang diizinkan (&lt;5 Ω), dimana diketahui sebelumnya pentanahan yang digunakan adalah </w:t>
      </w:r>
      <w:r>
        <w:rPr>
          <w:rFonts w:ascii="Times New Roman" w:hAnsi="Times New Roman"/>
          <w:i/>
          <w:iCs/>
          <w:sz w:val="22"/>
          <w:szCs w:val="22"/>
        </w:rPr>
        <w:t xml:space="preserve">single rod </w:t>
      </w:r>
      <w:r>
        <w:rPr>
          <w:rFonts w:ascii="Times New Roman" w:hAnsi="Times New Roman"/>
          <w:sz w:val="22"/>
          <w:szCs w:val="22"/>
        </w:rPr>
        <w:t>dan sudah diaplikasikan pada beberapa tahun yang lalu.</w:t>
      </w:r>
      <w:r>
        <w:rPr>
          <w:rFonts w:ascii="Times New Roman" w:hAnsi="Times New Roman" w:eastAsia="Times New Roman"/>
          <w:sz w:val="22"/>
          <w:szCs w:val="22"/>
        </w:rPr>
        <w:t xml:space="preserve"> Untuk itu dilakukan instalasi ulang pentanahan dengan 3 batang elektroda yang dipasang secara paralel. </w:t>
      </w:r>
    </w:p>
    <w:p>
      <w:pPr>
        <w:spacing w:after="0" w:line="240" w:lineRule="auto"/>
        <w:ind w:firstLine="360"/>
        <w:jc w:val="both"/>
        <w:rPr>
          <w:rFonts w:ascii="Times New Roman" w:hAnsi="Times New Roman"/>
          <w:sz w:val="22"/>
          <w:szCs w:val="22"/>
          <w:lang w:val="en-US"/>
        </w:rPr>
      </w:pPr>
      <w:r>
        <w:rPr>
          <w:rFonts w:ascii="Times New Roman" w:hAnsi="Times New Roman" w:eastAsia="Times New Roman"/>
          <w:sz w:val="22"/>
          <w:szCs w:val="22"/>
        </w:rPr>
        <w:t>Upaya yang dilakukan untuk perbaikan nilai tahanan pentanaha yaitu dengan pemasangan elektroda batang secara paralel sebanyak 3 buah elektroda (</w:t>
      </w:r>
      <w:r>
        <w:rPr>
          <w:rFonts w:ascii="Times New Roman" w:hAnsi="Times New Roman" w:eastAsia="Times New Roman"/>
          <w:i/>
          <w:iCs/>
          <w:sz w:val="22"/>
          <w:szCs w:val="22"/>
        </w:rPr>
        <w:t>Multiple Rod</w:t>
      </w:r>
      <w:r>
        <w:rPr>
          <w:rFonts w:ascii="Times New Roman" w:hAnsi="Times New Roman" w:eastAsia="Times New Roman"/>
          <w:sz w:val="22"/>
          <w:szCs w:val="22"/>
        </w:rPr>
        <w:t xml:space="preserve">). Nilai tahanan pentanahan yang dipasang paralel didapatkan dengan cara perhitungan, simulasi matlab, dan pengukuran di lapangan dengan alat ukur </w:t>
      </w:r>
      <w:r>
        <w:rPr>
          <w:rFonts w:ascii="Times New Roman" w:hAnsi="Times New Roman" w:eastAsia="Times New Roman"/>
          <w:i/>
          <w:iCs/>
          <w:sz w:val="22"/>
          <w:szCs w:val="22"/>
        </w:rPr>
        <w:t>Earth Tester</w:t>
      </w:r>
      <w:r>
        <w:rPr>
          <w:rFonts w:ascii="Times New Roman" w:hAnsi="Times New Roman" w:eastAsia="Times New Roman"/>
          <w:sz w:val="22"/>
          <w:szCs w:val="22"/>
        </w:rPr>
        <w:t xml:space="preserve">. Untuk instalasi pentanahan secara paralel kondisi yang disarankan yaitu pada kedalaman minimal 2 meter dengan jarak antar elektroda minimal 5 meter. Untuk itu dibuat perhitungan dan simulasi yang sesuai dengan kondisi ttersebut dan disesuikan dengan tahanan jenis tanah pada masing-masing menara agar nilai tahanan pentanahan yang dihasilkan sesuai dengan standar PUIL 2011, yaitu </w:t>
      </w:r>
      <w:r>
        <w:rPr>
          <w:rFonts w:ascii="Times New Roman" w:hAnsi="Times New Roman"/>
          <w:sz w:val="22"/>
          <w:szCs w:val="22"/>
        </w:rPr>
        <w:t>&lt;5 Ω. Sedangkan pada kenyataan dilapangan instalasi tahanan pentanahan dilakukan pada kedalaman 2 meter dengan jarak antar elektroda 2 meter. Maka dari itu dapat diamati pada masing-masing menara bahwa semakin dalam elektroda diketanahkan dan semakin jauh jarak antar elektroda maka nilai tahanan pentanahan akan semakin kecil</w:t>
      </w:r>
      <w:r>
        <w:rPr>
          <w:rFonts w:ascii="Times New Roman" w:hAnsi="Times New Roman"/>
          <w:sz w:val="22"/>
          <w:szCs w:val="22"/>
          <w:lang w:val="en-US"/>
        </w:rPr>
        <w:t>.</w:t>
      </w:r>
    </w:p>
    <w:p>
      <w:pPr>
        <w:pStyle w:val="14"/>
        <w:spacing w:after="0" w:line="240" w:lineRule="auto"/>
        <w:ind w:left="0"/>
        <w:jc w:val="both"/>
        <w:rPr>
          <w:rFonts w:ascii="Times New Roman" w:hAnsi="Times New Roman"/>
          <w:color w:val="000000"/>
          <w:sz w:val="22"/>
          <w:szCs w:val="22"/>
        </w:rPr>
      </w:pPr>
    </w:p>
    <w:p>
      <w:pPr>
        <w:pStyle w:val="14"/>
        <w:spacing w:after="0" w:line="240" w:lineRule="auto"/>
        <w:ind w:left="0"/>
        <w:contextualSpacing w:val="0"/>
        <w:jc w:val="both"/>
        <w:rPr>
          <w:rFonts w:ascii="Times New Roman" w:hAnsi="Times New Roman"/>
          <w:b/>
          <w:color w:val="000000"/>
          <w:sz w:val="24"/>
          <w:szCs w:val="24"/>
        </w:rPr>
      </w:pPr>
      <w:r>
        <w:rPr>
          <w:rFonts w:ascii="Times New Roman" w:hAnsi="Times New Roman"/>
          <w:b/>
          <w:color w:val="000000"/>
          <w:sz w:val="24"/>
          <w:szCs w:val="24"/>
        </w:rPr>
        <w:t>DAFTAR PUSTAKA</w:t>
      </w:r>
    </w:p>
    <w:p>
      <w:pPr>
        <w:spacing w:after="0" w:line="240" w:lineRule="auto"/>
        <w:ind w:left="567" w:hanging="567"/>
        <w:jc w:val="both"/>
        <w:rPr>
          <w:rFonts w:ascii="Times New Roman" w:hAnsi="Times New Roman"/>
          <w:color w:val="000000"/>
          <w:sz w:val="24"/>
          <w:szCs w:val="24"/>
          <w:lang w:val="en-US"/>
        </w:rPr>
      </w:pPr>
      <w:r>
        <w:rPr>
          <w:rFonts w:ascii="Times New Roman" w:hAnsi="Times New Roman"/>
          <w:color w:val="000000"/>
          <w:sz w:val="24"/>
          <w:szCs w:val="24"/>
          <w:lang w:val="en-US"/>
        </w:rPr>
        <w:t>Faisal, Ahmad, Muhammad Amril, Jhoni Hidayat, and Ulfa Hasnita. “</w:t>
      </w:r>
      <w:r>
        <w:rPr>
          <w:rFonts w:ascii="Times New Roman" w:hAnsi="Times New Roman"/>
          <w:i/>
          <w:iCs/>
          <w:color w:val="000000"/>
          <w:sz w:val="24"/>
          <w:szCs w:val="24"/>
          <w:lang w:val="en-US"/>
        </w:rPr>
        <w:t>Studi Pengukuran Tahanan Pentanahan Menara Saluran Udara Tegangan Tinggi (SUTT) 150 KV Sidikalang-Salak Dengan Menggunakan Sistem Counterpoise</w:t>
      </w:r>
      <w:r>
        <w:rPr>
          <w:rFonts w:ascii="Times New Roman" w:hAnsi="Times New Roman"/>
          <w:color w:val="000000"/>
          <w:sz w:val="24"/>
          <w:szCs w:val="24"/>
          <w:lang w:val="en-US"/>
        </w:rPr>
        <w:t>” 1099 (2019): 130–34.</w:t>
      </w:r>
    </w:p>
    <w:p>
      <w:pPr>
        <w:spacing w:after="0" w:line="240" w:lineRule="auto"/>
        <w:ind w:left="567" w:hanging="567"/>
        <w:jc w:val="both"/>
        <w:rPr>
          <w:rFonts w:ascii="Times New Roman" w:hAnsi="Times New Roman"/>
          <w:color w:val="000000"/>
          <w:sz w:val="24"/>
          <w:szCs w:val="24"/>
          <w:lang w:val="en-US"/>
        </w:rPr>
      </w:pPr>
      <w:r>
        <w:rPr>
          <w:rFonts w:ascii="Times New Roman" w:hAnsi="Times New Roman"/>
          <w:color w:val="000000"/>
          <w:sz w:val="24"/>
          <w:szCs w:val="24"/>
          <w:lang w:val="en-US"/>
        </w:rPr>
        <w:t>Farmada, Andre. “</w:t>
      </w:r>
      <w:r>
        <w:rPr>
          <w:rFonts w:ascii="Times New Roman" w:hAnsi="Times New Roman"/>
          <w:i/>
          <w:iCs/>
          <w:color w:val="000000"/>
          <w:sz w:val="24"/>
          <w:szCs w:val="24"/>
          <w:lang w:val="en-US"/>
        </w:rPr>
        <w:t>Studi Pengukuran Tahanan Pentanahan Tower Saluran Udara Tegangan Ekstra Tinggi (SUTET) 500 KV Pedan-Ungaran</w:t>
      </w:r>
      <w:r>
        <w:rPr>
          <w:rFonts w:ascii="Times New Roman" w:hAnsi="Times New Roman"/>
          <w:color w:val="000000"/>
          <w:sz w:val="24"/>
          <w:szCs w:val="24"/>
          <w:lang w:val="en-US"/>
        </w:rPr>
        <w:t>,” 2016.</w:t>
      </w:r>
    </w:p>
    <w:p>
      <w:pPr>
        <w:spacing w:after="0" w:line="240" w:lineRule="auto"/>
        <w:ind w:left="567" w:hanging="567"/>
        <w:jc w:val="both"/>
        <w:rPr>
          <w:rFonts w:ascii="Times New Roman" w:hAnsi="Times New Roman"/>
          <w:color w:val="000000"/>
          <w:sz w:val="24"/>
          <w:szCs w:val="24"/>
          <w:lang w:val="en-US"/>
        </w:rPr>
      </w:pPr>
      <w:r>
        <w:rPr>
          <w:rFonts w:ascii="Times New Roman" w:hAnsi="Times New Roman"/>
          <w:color w:val="000000"/>
          <w:sz w:val="24"/>
          <w:szCs w:val="24"/>
          <w:lang w:val="en-US"/>
        </w:rPr>
        <w:t>Handayani, Arief Budi. “</w:t>
      </w:r>
      <w:r>
        <w:rPr>
          <w:rFonts w:ascii="Times New Roman" w:hAnsi="Times New Roman"/>
          <w:i/>
          <w:iCs/>
          <w:color w:val="000000"/>
          <w:sz w:val="24"/>
          <w:szCs w:val="24"/>
          <w:lang w:val="en-US"/>
        </w:rPr>
        <w:t>Studi Sistem Proteksi Pentanahan Pada BTS (Base Transceiver Station) Tipe SST Di BSC (Base Station Controller) Jember</w:t>
      </w:r>
      <w:r>
        <w:rPr>
          <w:rFonts w:ascii="Times New Roman" w:hAnsi="Times New Roman"/>
          <w:color w:val="000000"/>
          <w:sz w:val="24"/>
          <w:szCs w:val="24"/>
          <w:lang w:val="en-US"/>
        </w:rPr>
        <w:t>,” 2008.</w:t>
      </w:r>
    </w:p>
    <w:p>
      <w:pPr>
        <w:spacing w:after="0" w:line="240" w:lineRule="auto"/>
        <w:ind w:left="567" w:hanging="567"/>
        <w:jc w:val="both"/>
        <w:rPr>
          <w:rFonts w:ascii="Times New Roman" w:hAnsi="Times New Roman"/>
          <w:color w:val="000000"/>
          <w:sz w:val="24"/>
          <w:szCs w:val="24"/>
          <w:lang w:val="en-US"/>
        </w:rPr>
      </w:pPr>
      <w:r>
        <w:rPr>
          <w:rFonts w:ascii="Times New Roman" w:hAnsi="Times New Roman"/>
          <w:color w:val="000000"/>
          <w:sz w:val="24"/>
          <w:szCs w:val="24"/>
          <w:lang w:val="en-US"/>
        </w:rPr>
        <w:t xml:space="preserve">Hutauruk, T.S. </w:t>
      </w:r>
      <w:r>
        <w:rPr>
          <w:rFonts w:ascii="Times New Roman" w:hAnsi="Times New Roman"/>
          <w:i/>
          <w:iCs/>
          <w:color w:val="000000"/>
          <w:sz w:val="24"/>
          <w:szCs w:val="24"/>
          <w:lang w:val="en-US"/>
        </w:rPr>
        <w:t>Pengetanahan Netral Sistem Tenaga &amp; Pengetanahan Peralatan</w:t>
      </w:r>
      <w:r>
        <w:rPr>
          <w:rFonts w:ascii="Times New Roman" w:hAnsi="Times New Roman"/>
          <w:color w:val="000000"/>
          <w:sz w:val="24"/>
          <w:szCs w:val="24"/>
          <w:lang w:val="en-US"/>
        </w:rPr>
        <w:t>. Jakarta: Erlangga, 1991.</w:t>
      </w:r>
    </w:p>
    <w:p>
      <w:pPr>
        <w:spacing w:after="0" w:line="240" w:lineRule="auto"/>
        <w:ind w:left="567" w:hanging="567"/>
        <w:jc w:val="both"/>
        <w:rPr>
          <w:rFonts w:ascii="Times New Roman" w:hAnsi="Times New Roman"/>
          <w:color w:val="000000"/>
          <w:sz w:val="24"/>
          <w:szCs w:val="24"/>
          <w:lang w:val="en-US"/>
        </w:rPr>
      </w:pPr>
      <w:r>
        <w:rPr>
          <w:rFonts w:ascii="Times New Roman" w:hAnsi="Times New Roman"/>
          <w:color w:val="000000"/>
          <w:sz w:val="24"/>
          <w:szCs w:val="24"/>
          <w:lang w:val="en-US"/>
        </w:rPr>
        <w:t>Nurdiana, Nita, Alimin Nurdin, Dewa Aditya, Putra Yoga, Program Studi, Teknik Elektro, and Fakultas Teknik. “</w:t>
      </w:r>
      <w:r>
        <w:rPr>
          <w:rFonts w:ascii="Times New Roman" w:hAnsi="Times New Roman"/>
          <w:i/>
          <w:iCs/>
          <w:color w:val="000000"/>
          <w:sz w:val="24"/>
          <w:szCs w:val="24"/>
          <w:lang w:val="en-US"/>
        </w:rPr>
        <w:t>Pengaruh Kedalaman Terhadap Tahanan Pentanahan Di Area Rusunawan Kampus Universitas PGRI Palembang</w:t>
      </w:r>
      <w:r>
        <w:rPr>
          <w:rFonts w:ascii="Times New Roman" w:hAnsi="Times New Roman"/>
          <w:color w:val="000000"/>
          <w:sz w:val="24"/>
          <w:szCs w:val="24"/>
          <w:lang w:val="en-US"/>
        </w:rPr>
        <w:t>” 4, no. 2 (2019): 327–32.</w:t>
      </w:r>
    </w:p>
    <w:p>
      <w:pPr>
        <w:spacing w:after="0" w:line="240" w:lineRule="auto"/>
        <w:ind w:left="567" w:hanging="567"/>
        <w:jc w:val="both"/>
        <w:rPr>
          <w:rFonts w:ascii="Times New Roman" w:hAnsi="Times New Roman"/>
          <w:color w:val="000000"/>
          <w:sz w:val="24"/>
          <w:szCs w:val="24"/>
          <w:lang w:val="en-US"/>
        </w:rPr>
      </w:pPr>
      <w:r>
        <w:rPr>
          <w:rFonts w:ascii="Times New Roman" w:hAnsi="Times New Roman"/>
          <w:color w:val="000000"/>
          <w:sz w:val="24"/>
          <w:szCs w:val="24"/>
          <w:lang w:val="en-US"/>
        </w:rPr>
        <w:t>Oktora, Saras Dwi. “</w:t>
      </w:r>
      <w:r>
        <w:rPr>
          <w:rFonts w:ascii="Times New Roman" w:hAnsi="Times New Roman"/>
          <w:i/>
          <w:iCs/>
          <w:color w:val="000000"/>
          <w:sz w:val="24"/>
          <w:szCs w:val="24"/>
          <w:lang w:val="en-US"/>
        </w:rPr>
        <w:t>Analisis Sistem Pentanahan Di Balai Yasa Tegal Menggunakan Aplikasi Matlab</w:t>
      </w:r>
      <w:r>
        <w:rPr>
          <w:rFonts w:ascii="Times New Roman" w:hAnsi="Times New Roman"/>
          <w:color w:val="000000"/>
          <w:sz w:val="24"/>
          <w:szCs w:val="24"/>
          <w:lang w:val="en-US"/>
        </w:rPr>
        <w:t>,” 2016.</w:t>
      </w:r>
    </w:p>
    <w:p>
      <w:pPr>
        <w:spacing w:after="0" w:line="240" w:lineRule="auto"/>
        <w:ind w:left="567" w:hanging="567"/>
        <w:jc w:val="both"/>
        <w:rPr>
          <w:rFonts w:ascii="Times New Roman" w:hAnsi="Times New Roman"/>
          <w:color w:val="000000"/>
          <w:sz w:val="24"/>
          <w:szCs w:val="24"/>
          <w:lang w:val="en-US"/>
        </w:rPr>
      </w:pPr>
      <w:r>
        <w:rPr>
          <w:rFonts w:ascii="Times New Roman" w:hAnsi="Times New Roman"/>
          <w:i/>
          <w:iCs/>
          <w:color w:val="000000"/>
          <w:sz w:val="24"/>
          <w:szCs w:val="24"/>
          <w:lang w:val="en-US"/>
        </w:rPr>
        <w:t>Persyaratan Umum Instalasi Listrik Indonesia</w:t>
      </w:r>
      <w:r>
        <w:rPr>
          <w:rFonts w:ascii="Times New Roman" w:hAnsi="Times New Roman"/>
          <w:color w:val="000000"/>
          <w:sz w:val="24"/>
          <w:szCs w:val="24"/>
          <w:lang w:val="en-US"/>
        </w:rPr>
        <w:t xml:space="preserve"> (PUIL 2011). Jakarta: Lembaga Ilmu Pengetahuan Indonesia.</w:t>
      </w:r>
    </w:p>
    <w:p>
      <w:pPr>
        <w:spacing w:after="0" w:line="240" w:lineRule="auto"/>
        <w:ind w:left="567" w:hanging="567"/>
        <w:jc w:val="both"/>
        <w:rPr>
          <w:rFonts w:ascii="Times New Roman" w:hAnsi="Times New Roman"/>
          <w:color w:val="000000"/>
          <w:sz w:val="24"/>
          <w:szCs w:val="24"/>
          <w:lang w:val="en-US"/>
        </w:rPr>
      </w:pPr>
      <w:r>
        <w:rPr>
          <w:rFonts w:ascii="Times New Roman" w:hAnsi="Times New Roman"/>
          <w:color w:val="000000"/>
          <w:sz w:val="24"/>
          <w:szCs w:val="24"/>
          <w:lang w:val="en-US"/>
        </w:rPr>
        <w:t>Rajagukguk, Managam. “</w:t>
      </w:r>
      <w:r>
        <w:rPr>
          <w:rFonts w:ascii="Times New Roman" w:hAnsi="Times New Roman"/>
          <w:i/>
          <w:iCs/>
          <w:color w:val="000000"/>
          <w:sz w:val="24"/>
          <w:szCs w:val="24"/>
          <w:lang w:val="en-US"/>
        </w:rPr>
        <w:t>Studi Pengaruh Jenis Tanah Dan Kedalaman Pembumian Driven Rod Terhadap Resistansi Jenis Tanah</w:t>
      </w:r>
      <w:r>
        <w:rPr>
          <w:rFonts w:ascii="Times New Roman" w:hAnsi="Times New Roman"/>
          <w:color w:val="000000"/>
          <w:sz w:val="24"/>
          <w:szCs w:val="24"/>
          <w:lang w:val="en-US"/>
        </w:rPr>
        <w:t>” 8 (2012): 121–32.</w:t>
      </w:r>
    </w:p>
    <w:p>
      <w:pPr>
        <w:spacing w:after="0" w:line="240" w:lineRule="auto"/>
        <w:ind w:left="567" w:hanging="567"/>
        <w:jc w:val="both"/>
        <w:rPr>
          <w:rFonts w:ascii="Times New Roman" w:hAnsi="Times New Roman"/>
          <w:color w:val="000000"/>
          <w:sz w:val="24"/>
          <w:szCs w:val="24"/>
          <w:lang w:val="en-US"/>
        </w:rPr>
      </w:pPr>
      <w:r>
        <w:rPr>
          <w:rFonts w:ascii="Times New Roman" w:hAnsi="Times New Roman"/>
          <w:color w:val="000000"/>
          <w:sz w:val="24"/>
          <w:szCs w:val="24"/>
          <w:lang w:val="en-US"/>
        </w:rPr>
        <w:t xml:space="preserve">Rizal, Yose, IGN Satriyadi, R. Wahyudi. 2014. </w:t>
      </w:r>
      <w:r>
        <w:rPr>
          <w:rFonts w:ascii="Times New Roman" w:hAnsi="Times New Roman"/>
          <w:i/>
          <w:iCs/>
          <w:color w:val="000000"/>
          <w:sz w:val="24"/>
          <w:szCs w:val="24"/>
          <w:lang w:val="en-US"/>
        </w:rPr>
        <w:t>Analisis Kinerja Sistem Pentanahan PT. PLN (PERSERO) Gardu Indul 150 kV Ngimbang- Lamongan Dengan Metode Finite Element Method (FEM).</w:t>
      </w:r>
      <w:r>
        <w:rPr>
          <w:rFonts w:ascii="Times New Roman" w:hAnsi="Times New Roman"/>
          <w:color w:val="000000"/>
          <w:sz w:val="24"/>
          <w:szCs w:val="24"/>
          <w:lang w:val="en-US"/>
        </w:rPr>
        <w:t xml:space="preserve"> Jurnal Teknik Pomits 6 Januari 2014</w:t>
      </w:r>
    </w:p>
    <w:p>
      <w:pPr>
        <w:spacing w:after="0" w:line="240" w:lineRule="auto"/>
        <w:ind w:left="567" w:hanging="567"/>
        <w:jc w:val="both"/>
        <w:rPr>
          <w:rFonts w:ascii="Times New Roman" w:hAnsi="Times New Roman"/>
          <w:color w:val="000000"/>
          <w:sz w:val="24"/>
          <w:szCs w:val="24"/>
          <w:lang w:val="en-US"/>
        </w:rPr>
      </w:pPr>
      <w:r>
        <w:rPr>
          <w:rFonts w:ascii="Times New Roman" w:hAnsi="Times New Roman"/>
          <w:color w:val="000000"/>
          <w:sz w:val="24"/>
          <w:szCs w:val="24"/>
          <w:lang w:val="en-US"/>
        </w:rPr>
        <w:t>Saini, Makmur; Yunus, A.M Shiddiq; Pangkung, Andareas. “</w:t>
      </w:r>
      <w:r>
        <w:rPr>
          <w:rFonts w:ascii="Times New Roman" w:hAnsi="Times New Roman"/>
          <w:i/>
          <w:iCs/>
          <w:color w:val="000000"/>
          <w:sz w:val="24"/>
          <w:szCs w:val="24"/>
          <w:lang w:val="en-US"/>
        </w:rPr>
        <w:t>Pengembangan Sistem Penangkal Petir Dan Pentanahan</w:t>
      </w:r>
      <w:r>
        <w:rPr>
          <w:rFonts w:ascii="Times New Roman" w:hAnsi="Times New Roman"/>
          <w:color w:val="000000"/>
          <w:sz w:val="24"/>
          <w:szCs w:val="24"/>
          <w:lang w:val="en-US"/>
        </w:rPr>
        <w:t>” 3, no. 2 (2016): 66–71.</w:t>
      </w:r>
    </w:p>
    <w:p>
      <w:pPr>
        <w:spacing w:after="0" w:line="240" w:lineRule="auto"/>
        <w:ind w:left="567" w:hanging="567"/>
        <w:jc w:val="both"/>
        <w:rPr>
          <w:rFonts w:ascii="Times New Roman" w:hAnsi="Times New Roman"/>
          <w:color w:val="000000"/>
          <w:sz w:val="24"/>
          <w:szCs w:val="24"/>
          <w:lang w:val="en-US"/>
        </w:rPr>
      </w:pPr>
      <w:r>
        <w:rPr>
          <w:rFonts w:ascii="Times New Roman" w:hAnsi="Times New Roman"/>
          <w:color w:val="000000"/>
          <w:sz w:val="24"/>
          <w:szCs w:val="24"/>
          <w:lang w:val="en-US"/>
        </w:rPr>
        <w:t>Saputro, Nurcahyo Hajar, Program Studi, Teknik Elektro, Fakultas Teknik, and Universitas Muhammadiyah Surakarta. “</w:t>
      </w:r>
      <w:r>
        <w:rPr>
          <w:rFonts w:ascii="Times New Roman" w:hAnsi="Times New Roman"/>
          <w:i/>
          <w:iCs/>
          <w:color w:val="000000"/>
          <w:sz w:val="24"/>
          <w:szCs w:val="24"/>
          <w:lang w:val="en-US"/>
        </w:rPr>
        <w:t>Analisis Pentanahan Kaki Menara Trasnmisi 150 KV Remnag-Blora Bertahanan Tinggi Dan Usaha Menurunkannya</w:t>
      </w:r>
      <w:r>
        <w:rPr>
          <w:rFonts w:ascii="Times New Roman" w:hAnsi="Times New Roman"/>
          <w:color w:val="000000"/>
          <w:sz w:val="24"/>
          <w:szCs w:val="24"/>
          <w:lang w:val="en-US"/>
        </w:rPr>
        <w:t>,” 2016.</w:t>
      </w:r>
    </w:p>
    <w:p>
      <w:pPr>
        <w:spacing w:after="0" w:line="240" w:lineRule="auto"/>
        <w:ind w:left="567" w:hanging="567"/>
        <w:jc w:val="both"/>
        <w:rPr>
          <w:rFonts w:ascii="Times New Roman" w:hAnsi="Times New Roman"/>
          <w:color w:val="000000"/>
          <w:sz w:val="24"/>
          <w:szCs w:val="24"/>
          <w:lang w:val="en-US"/>
        </w:rPr>
      </w:pPr>
      <w:r>
        <w:rPr>
          <w:rFonts w:ascii="Times New Roman" w:hAnsi="Times New Roman"/>
          <w:color w:val="000000"/>
          <w:sz w:val="24"/>
          <w:szCs w:val="24"/>
          <w:lang w:val="en-US"/>
        </w:rPr>
        <w:t>Siregar, Leonardus. “</w:t>
      </w:r>
      <w:r>
        <w:rPr>
          <w:rFonts w:ascii="Times New Roman" w:hAnsi="Times New Roman"/>
          <w:i/>
          <w:iCs/>
          <w:color w:val="000000"/>
          <w:sz w:val="24"/>
          <w:szCs w:val="24"/>
          <w:lang w:val="en-US"/>
        </w:rPr>
        <w:t>Analisa Pengukuran Tahanan Pembumian Menara Transmisi Titi Kuning – Lubuk Pakam</w:t>
      </w:r>
      <w:r>
        <w:rPr>
          <w:rFonts w:ascii="Times New Roman" w:hAnsi="Times New Roman"/>
          <w:color w:val="000000"/>
          <w:sz w:val="24"/>
          <w:szCs w:val="24"/>
          <w:lang w:val="en-US"/>
        </w:rPr>
        <w:t>,” n.d., 1–13.</w:t>
      </w:r>
    </w:p>
    <w:p>
      <w:pPr>
        <w:spacing w:after="0" w:line="240" w:lineRule="auto"/>
        <w:ind w:left="567" w:hanging="567"/>
        <w:jc w:val="both"/>
        <w:rPr>
          <w:rFonts w:ascii="Times New Roman" w:hAnsi="Times New Roman"/>
          <w:color w:val="000000"/>
          <w:sz w:val="24"/>
          <w:szCs w:val="24"/>
          <w:lang w:val="en-US"/>
        </w:rPr>
      </w:pPr>
      <w:r>
        <w:rPr>
          <w:rFonts w:ascii="Times New Roman" w:hAnsi="Times New Roman"/>
          <w:color w:val="000000"/>
          <w:sz w:val="24"/>
          <w:szCs w:val="24"/>
          <w:lang w:val="en-US"/>
        </w:rPr>
        <w:t>Sukmawidjaja, Maula, Syamsir Abduh, and Shahnaz Nadia. “</w:t>
      </w:r>
      <w:r>
        <w:rPr>
          <w:rFonts w:ascii="Times New Roman" w:hAnsi="Times New Roman"/>
          <w:i/>
          <w:iCs/>
          <w:color w:val="000000"/>
          <w:sz w:val="24"/>
          <w:szCs w:val="24"/>
          <w:lang w:val="en-US"/>
        </w:rPr>
        <w:t>Analisis Perancangan Sistem Proteksi Bangunan The Bellagio Residence Terhadap Sambaran Petir</w:t>
      </w:r>
      <w:r>
        <w:rPr>
          <w:rFonts w:ascii="Times New Roman" w:hAnsi="Times New Roman"/>
          <w:color w:val="000000"/>
          <w:sz w:val="24"/>
          <w:szCs w:val="24"/>
          <w:lang w:val="en-US"/>
        </w:rPr>
        <w:t>.” ISSN 1412-0372 12 (2015): 75–86.</w:t>
      </w:r>
    </w:p>
    <w:p>
      <w:pPr>
        <w:spacing w:after="0" w:line="240" w:lineRule="auto"/>
        <w:ind w:left="567" w:hanging="567"/>
        <w:jc w:val="both"/>
        <w:rPr>
          <w:rFonts w:ascii="Times New Roman" w:hAnsi="Times New Roman"/>
          <w:color w:val="000000"/>
          <w:sz w:val="24"/>
          <w:szCs w:val="24"/>
          <w:lang w:val="en-US"/>
        </w:rPr>
      </w:pPr>
      <w:r>
        <w:rPr>
          <w:rFonts w:ascii="Times New Roman" w:hAnsi="Times New Roman"/>
          <w:color w:val="000000"/>
          <w:sz w:val="24"/>
          <w:szCs w:val="24"/>
          <w:lang w:val="en-US"/>
        </w:rPr>
        <w:t>Sunarhati, Marliyus. “</w:t>
      </w:r>
      <w:r>
        <w:rPr>
          <w:rFonts w:ascii="Times New Roman" w:hAnsi="Times New Roman"/>
          <w:i/>
          <w:iCs/>
          <w:color w:val="000000"/>
          <w:sz w:val="24"/>
          <w:szCs w:val="24"/>
          <w:lang w:val="en-US"/>
        </w:rPr>
        <w:t>Perhitungan Tahanan Pentanahan Gardu Di Griya Kaswari Palembang</w:t>
      </w:r>
      <w:r>
        <w:rPr>
          <w:rFonts w:ascii="Times New Roman" w:hAnsi="Times New Roman"/>
          <w:color w:val="000000"/>
          <w:sz w:val="24"/>
          <w:szCs w:val="24"/>
          <w:lang w:val="en-US"/>
        </w:rPr>
        <w:t>,” n.d., 30–42.</w:t>
      </w:r>
    </w:p>
    <w:p>
      <w:pPr>
        <w:spacing w:after="0" w:line="240" w:lineRule="auto"/>
        <w:ind w:left="567" w:hanging="567"/>
        <w:jc w:val="both"/>
        <w:rPr>
          <w:rFonts w:ascii="Times New Roman" w:hAnsi="Times New Roman"/>
          <w:color w:val="000000"/>
          <w:sz w:val="24"/>
          <w:szCs w:val="24"/>
          <w:lang w:val="en-US"/>
        </w:rPr>
      </w:pPr>
      <w:r>
        <w:rPr>
          <w:rFonts w:ascii="Times New Roman" w:hAnsi="Times New Roman"/>
          <w:color w:val="000000"/>
          <w:sz w:val="24"/>
          <w:szCs w:val="24"/>
          <w:lang w:val="en-US"/>
        </w:rPr>
        <w:t xml:space="preserve">Wahyono,Budhi Prasetiyo. 2013. </w:t>
      </w:r>
      <w:r>
        <w:rPr>
          <w:rFonts w:ascii="Times New Roman" w:hAnsi="Times New Roman"/>
          <w:i/>
          <w:iCs/>
          <w:color w:val="000000"/>
          <w:sz w:val="24"/>
          <w:szCs w:val="24"/>
          <w:lang w:val="en-US"/>
        </w:rPr>
        <w:t>Analisa Pengaruh Jarak dan Kedalaman Terhadap Nilai Tahanan Pembumian Dengan 2 Elektroda Batang.</w:t>
      </w:r>
      <w:r>
        <w:rPr>
          <w:rFonts w:ascii="Times New Roman" w:hAnsi="Times New Roman"/>
          <w:color w:val="000000"/>
          <w:sz w:val="24"/>
          <w:szCs w:val="24"/>
          <w:lang w:val="en-US"/>
        </w:rPr>
        <w:t xml:space="preserve"> ISBN 978-602-99334-2-0. Prosiding SNST ke-4 Tahun 2013</w:t>
      </w:r>
    </w:p>
    <w:p>
      <w:pPr>
        <w:spacing w:after="0" w:line="240" w:lineRule="auto"/>
        <w:ind w:left="567" w:hanging="567"/>
        <w:jc w:val="both"/>
        <w:rPr>
          <w:rFonts w:ascii="Times New Roman" w:hAnsi="Times New Roman"/>
          <w:color w:val="000000"/>
          <w:sz w:val="24"/>
          <w:szCs w:val="24"/>
          <w:lang w:val="en-US"/>
        </w:rPr>
      </w:pPr>
      <w:r>
        <w:rPr>
          <w:rFonts w:ascii="Times New Roman" w:hAnsi="Times New Roman"/>
          <w:color w:val="000000"/>
          <w:sz w:val="24"/>
          <w:szCs w:val="24"/>
          <w:lang w:val="en-US"/>
        </w:rPr>
        <w:t>Zoro, Reynaldo. “</w:t>
      </w:r>
      <w:r>
        <w:rPr>
          <w:rFonts w:ascii="Times New Roman" w:hAnsi="Times New Roman"/>
          <w:i/>
          <w:iCs/>
          <w:color w:val="000000"/>
          <w:sz w:val="24"/>
          <w:szCs w:val="24"/>
          <w:lang w:val="en-US"/>
        </w:rPr>
        <w:t>Fenomena Petir Tropis Dan Parameter Petir</w:t>
      </w:r>
      <w:r>
        <w:rPr>
          <w:rFonts w:ascii="Times New Roman" w:hAnsi="Times New Roman"/>
          <w:color w:val="000000"/>
          <w:sz w:val="24"/>
          <w:szCs w:val="24"/>
          <w:lang w:val="en-US"/>
        </w:rPr>
        <w:t>,” 2021.</w:t>
      </w:r>
    </w:p>
    <w:sectPr>
      <w:footerReference r:id="rId7" w:type="first"/>
      <w:headerReference r:id="rId5" w:type="default"/>
      <w:headerReference r:id="rId6" w:type="even"/>
      <w:type w:val="continuous"/>
      <w:pgSz w:w="11906" w:h="16838"/>
      <w:pgMar w:top="1440" w:right="1440" w:bottom="1440" w:left="1440" w:header="708" w:footer="708" w:gutter="0"/>
      <w:cols w:space="708"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6"/>
      <w:rPr>
        <w:rFonts w:ascii="Arial" w:hAnsi="Arial" w:cs="Arial"/>
        <w:color w:val="FFFFFF"/>
        <w:lang w:val="en-US"/>
      </w:rPr>
    </w:pPr>
    <w:r>
      <w:rPr>
        <w:rFonts w:ascii="Arial" w:hAnsi="Arial" w:cs="Arial"/>
        <w:b/>
        <w:bCs/>
        <w:i/>
        <w:iCs/>
        <w:color w:val="FFFFFF"/>
        <w:lang w:val="en-US"/>
      </w:rPr>
      <mc:AlternateContent>
        <mc:Choice Requires="wps">
          <w:drawing>
            <wp:anchor distT="0" distB="0" distL="114300" distR="114300" simplePos="0" relativeHeight="251659264" behindDoc="1" locked="0" layoutInCell="1" allowOverlap="1">
              <wp:simplePos x="0" y="0"/>
              <wp:positionH relativeFrom="column">
                <wp:posOffset>1211580</wp:posOffset>
              </wp:positionH>
              <wp:positionV relativeFrom="paragraph">
                <wp:posOffset>7620</wp:posOffset>
              </wp:positionV>
              <wp:extent cx="4507230" cy="148590"/>
              <wp:effectExtent l="0" t="0" r="26670" b="22860"/>
              <wp:wrapNone/>
              <wp:docPr id="13" name="Rectangle 13"/>
              <wp:cNvGraphicFramePr/>
              <a:graphic xmlns:a="http://schemas.openxmlformats.org/drawingml/2006/main">
                <a:graphicData uri="http://schemas.microsoft.com/office/word/2010/wordprocessingShape">
                  <wps:wsp>
                    <wps:cNvSpPr>
                      <a:spLocks noChangeArrowheads="1"/>
                    </wps:cNvSpPr>
                    <wps:spPr bwMode="auto">
                      <a:xfrm>
                        <a:off x="0" y="0"/>
                        <a:ext cx="4507230" cy="14859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3" o:spid="_x0000_s1026" o:spt="1" style="position:absolute;left:0pt;margin-left:95.4pt;margin-top:0.6pt;height:11.7pt;width:354.9pt;z-index:-251657216;mso-width-relative:page;mso-height-relative:page;" fillcolor="#FFFFFF" filled="t" stroked="t" coordsize="21600,21600" o:gfxdata="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HDf3tUAAAAIAQAADwAAAAAAAAABACAAAAAiAAAAZHJzL2Rvd25yZXYueG1sUEsBAhQAFAAA&#10;AAgAh07iQAJN1AwrAgAAdAQAAA4AAAAAAAAAAQAgAAAAJAEAAGRycy9lMm9Eb2MueG1sUEsFBgAA&#10;AAAGAAYAWQEAAMEFAAAAAA==&#10;">
              <v:fill on="t" focussize="0,0"/>
              <v:stroke color="#000000" miterlimit="8" joinstyle="miter"/>
              <v:imagedata o:title=""/>
              <o:lock v:ext="edit" aspectratio="f"/>
            </v:rect>
          </w:pict>
        </mc:Fallback>
      </mc:AlternateContent>
    </w:r>
    <w:r>
      <w:rPr>
        <w:rFonts w:ascii="Arial" w:hAnsi="Arial" w:cs="Arial"/>
        <w:b/>
        <w:bCs/>
        <w:i/>
        <w:iCs/>
        <w:color w:val="FFFFFF"/>
        <w:highlight w:val="black"/>
      </w:rPr>
      <w:t xml:space="preserve">  </w:t>
    </w:r>
    <w:r>
      <w:rPr>
        <w:rFonts w:ascii="Arial" w:hAnsi="Arial" w:cs="Arial"/>
        <w:b/>
        <w:bCs/>
        <w:i/>
        <w:iCs/>
        <w:color w:val="FFFFFF"/>
        <w:highlight w:val="black"/>
        <w:lang w:val="en-US"/>
      </w:rPr>
      <w:t>E-</w:t>
    </w:r>
    <w:r>
      <w:rPr>
        <w:rFonts w:ascii="Arial" w:hAnsi="Arial" w:cs="Arial"/>
        <w:b/>
        <w:bCs/>
        <w:i/>
        <w:iCs/>
        <w:color w:val="FFFFFF"/>
        <w:highlight w:val="black"/>
      </w:rPr>
      <w:t xml:space="preserve">ISSN </w:t>
    </w:r>
    <w:r>
      <w:rPr>
        <w:rFonts w:ascii="Arial" w:hAnsi="Arial" w:cs="Arial"/>
        <w:b/>
        <w:bCs/>
        <w:i/>
        <w:iCs/>
        <w:color w:val="FFFFFF"/>
        <w:highlight w:val="black"/>
        <w:lang w:val="en-US"/>
      </w:rPr>
      <w:t>2615</w:t>
    </w:r>
    <w:r>
      <w:rPr>
        <w:rFonts w:ascii="Arial" w:hAnsi="Arial" w:cs="Arial"/>
        <w:b/>
        <w:bCs/>
        <w:i/>
        <w:iCs/>
        <w:color w:val="FFFFFF"/>
        <w:highlight w:val="black"/>
      </w:rPr>
      <w:t>-</w:t>
    </w:r>
    <w:r>
      <w:rPr>
        <w:rFonts w:ascii="Arial" w:hAnsi="Arial" w:cs="Arial"/>
        <w:b/>
        <w:bCs/>
        <w:i/>
        <w:iCs/>
        <w:color w:val="FFFFFF"/>
        <w:highlight w:val="black"/>
        <w:lang w:val="en-US"/>
      </w:rPr>
      <w:t>2827</w:t>
    </w:r>
    <w:r>
      <w:rPr>
        <w:rFonts w:ascii="Arial" w:hAnsi="Arial" w:cs="Arial"/>
        <w:b/>
        <w:bCs/>
        <w:i/>
        <w:iCs/>
        <w:color w:val="FFFFFF"/>
        <w:highlight w:val="black"/>
      </w:rPr>
      <w:t xml:space="preserve"> </w:t>
    </w:r>
    <w:r>
      <w:rPr>
        <w:rFonts w:ascii="Arial" w:hAnsi="Arial" w:cs="Arial"/>
        <w:b/>
        <w:bCs/>
        <w:i/>
        <w:iCs/>
        <w:color w:val="000000"/>
        <w:highlight w:val="black"/>
      </w:rPr>
      <w:t>5</w:t>
    </w:r>
    <w:r>
      <w:rPr>
        <w:rFonts w:ascii="Arial" w:hAnsi="Arial" w:cs="Arial"/>
        <w:b/>
        <w:bCs/>
        <w:i/>
        <w:iCs/>
        <w:color w:val="FFFFFF"/>
      </w:rPr>
      <w:t xml:space="preserve"> </w:t>
    </w:r>
    <w:r>
      <w:rPr>
        <w:rFonts w:ascii="Arial" w:hAnsi="Arial" w:cs="Arial"/>
        <w:b/>
        <w:bCs/>
        <w:i/>
        <w:iCs/>
        <w:color w:val="FFFFFF"/>
        <w:lang w:val="en-US"/>
      </w:rPr>
      <w:t xml:space="preserve">                                  </w:t>
    </w:r>
    <w:r>
      <w:rPr>
        <w:rFonts w:ascii="Arial" w:hAnsi="Arial" w:cs="Arial"/>
        <w:color w:val="000000"/>
        <w:sz w:val="20"/>
        <w:szCs w:val="20"/>
      </w:rPr>
      <w:t>Jurnal Sains dan Teknologi</w:t>
    </w:r>
    <w:r>
      <w:rPr>
        <w:rFonts w:ascii="Arial" w:hAnsi="Arial" w:cs="Arial"/>
        <w:i/>
        <w:sz w:val="20"/>
        <w:szCs w:val="20"/>
        <w:lang w:val="sv-SE"/>
      </w:rPr>
      <w:t xml:space="preserve">  </w:t>
    </w:r>
    <w:r>
      <w:rPr>
        <w:rFonts w:ascii="Arial" w:hAnsi="Arial" w:cs="Arial"/>
        <w:sz w:val="20"/>
        <w:szCs w:val="20"/>
        <w:lang w:val="sv-SE"/>
      </w:rPr>
      <w:t xml:space="preserve">Vol. </w:t>
    </w:r>
    <w:r>
      <w:rPr>
        <w:rFonts w:ascii="Arial" w:hAnsi="Arial" w:cs="Arial"/>
        <w:sz w:val="20"/>
        <w:szCs w:val="20"/>
        <w:lang w:val="en-US"/>
      </w:rPr>
      <w:t>XX</w:t>
    </w:r>
    <w:r>
      <w:rPr>
        <w:rFonts w:ascii="Arial" w:hAnsi="Arial" w:cs="Arial"/>
        <w:sz w:val="20"/>
        <w:szCs w:val="20"/>
        <w:lang w:val="sv-SE"/>
      </w:rPr>
      <w:t xml:space="preserve"> No.</w:t>
    </w:r>
    <w:r>
      <w:rPr>
        <w:rFonts w:ascii="Arial" w:hAnsi="Arial" w:cs="Arial"/>
        <w:sz w:val="20"/>
        <w:szCs w:val="20"/>
        <w:lang w:val="en-US"/>
      </w:rPr>
      <w:t>X</w:t>
    </w:r>
    <w:r>
      <w:rPr>
        <w:rFonts w:ascii="Arial" w:hAnsi="Arial" w:cs="Arial"/>
        <w:sz w:val="20"/>
        <w:szCs w:val="20"/>
        <w:lang w:val="sv-SE"/>
      </w:rPr>
      <w:t xml:space="preserve">, </w:t>
    </w:r>
    <w:r>
      <w:rPr>
        <w:rFonts w:ascii="Arial" w:hAnsi="Arial" w:cs="Arial"/>
        <w:sz w:val="20"/>
        <w:szCs w:val="20"/>
        <w:lang w:val="en-US"/>
      </w:rPr>
      <w:t>Juni</w:t>
    </w:r>
    <w:r>
      <w:rPr>
        <w:rFonts w:ascii="Arial" w:hAnsi="Arial" w:cs="Arial"/>
        <w:sz w:val="20"/>
        <w:szCs w:val="20"/>
      </w:rPr>
      <w:t xml:space="preserve"> </w:t>
    </w:r>
    <w:r>
      <w:rPr>
        <w:rFonts w:ascii="Arial" w:hAnsi="Arial" w:cs="Arial"/>
        <w:sz w:val="20"/>
        <w:szCs w:val="20"/>
        <w:lang w:val="sv-SE"/>
      </w:rPr>
      <w:t>201</w:t>
    </w:r>
    <w:r>
      <w:rPr>
        <w:rFonts w:ascii="Arial" w:hAnsi="Arial" w:cs="Arial"/>
        <w:sz w:val="20"/>
        <w:szCs w:val="20"/>
        <w:lang w:val="en-US"/>
      </w:rPr>
      <w:t>X</w:t>
    </w:r>
    <w:r>
      <w:rPr>
        <w:rFonts w:ascii="Arial" w:hAnsi="Arial" w:cs="Arial"/>
        <w:sz w:val="20"/>
        <w:szCs w:val="2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FD9627"/>
    <w:multiLevelType w:val="singleLevel"/>
    <w:tmpl w:val="4CFD9627"/>
    <w:lvl w:ilvl="0" w:tentative="0">
      <w:start w:val="1"/>
      <w:numFmt w:val="decimal"/>
      <w:suff w:val="space"/>
      <w:lvlText w:val="%1."/>
      <w:lvlJc w:val="left"/>
    </w:lvl>
  </w:abstractNum>
  <w:abstractNum w:abstractNumId="1">
    <w:nsid w:val="57470B91"/>
    <w:multiLevelType w:val="multilevel"/>
    <w:tmpl w:val="57470B9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documentProtection w:enforcement="0"/>
  <w:defaultTabStop w:val="720"/>
  <w:evenAndOddHeaders w:val="1"/>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E25"/>
    <w:rsid w:val="00000BBD"/>
    <w:rsid w:val="000133DF"/>
    <w:rsid w:val="000705DC"/>
    <w:rsid w:val="000923E1"/>
    <w:rsid w:val="000B0FEC"/>
    <w:rsid w:val="000C2395"/>
    <w:rsid w:val="000C608F"/>
    <w:rsid w:val="000E0E1D"/>
    <w:rsid w:val="000E623C"/>
    <w:rsid w:val="00100AF9"/>
    <w:rsid w:val="00102E10"/>
    <w:rsid w:val="00102EAC"/>
    <w:rsid w:val="00120A1E"/>
    <w:rsid w:val="00150A33"/>
    <w:rsid w:val="00176291"/>
    <w:rsid w:val="00186F4A"/>
    <w:rsid w:val="001C3962"/>
    <w:rsid w:val="001C4E9B"/>
    <w:rsid w:val="001F127F"/>
    <w:rsid w:val="00200A29"/>
    <w:rsid w:val="00207E25"/>
    <w:rsid w:val="00233AFE"/>
    <w:rsid w:val="00254864"/>
    <w:rsid w:val="00265C04"/>
    <w:rsid w:val="002D30ED"/>
    <w:rsid w:val="00312D08"/>
    <w:rsid w:val="00326BD9"/>
    <w:rsid w:val="00327AEF"/>
    <w:rsid w:val="00334441"/>
    <w:rsid w:val="00340964"/>
    <w:rsid w:val="00356ED9"/>
    <w:rsid w:val="00363BC9"/>
    <w:rsid w:val="00393F6E"/>
    <w:rsid w:val="003D2642"/>
    <w:rsid w:val="003F17DB"/>
    <w:rsid w:val="0041715D"/>
    <w:rsid w:val="004331FD"/>
    <w:rsid w:val="0045237E"/>
    <w:rsid w:val="00462956"/>
    <w:rsid w:val="00462E75"/>
    <w:rsid w:val="00466F1B"/>
    <w:rsid w:val="004903F5"/>
    <w:rsid w:val="00492A8D"/>
    <w:rsid w:val="004A525B"/>
    <w:rsid w:val="004D34C3"/>
    <w:rsid w:val="004D4C45"/>
    <w:rsid w:val="004D7A8E"/>
    <w:rsid w:val="00521419"/>
    <w:rsid w:val="005405AD"/>
    <w:rsid w:val="00563577"/>
    <w:rsid w:val="005657EA"/>
    <w:rsid w:val="00602C22"/>
    <w:rsid w:val="00610058"/>
    <w:rsid w:val="00613DDD"/>
    <w:rsid w:val="00620CB5"/>
    <w:rsid w:val="00642D27"/>
    <w:rsid w:val="00655B78"/>
    <w:rsid w:val="00666ED4"/>
    <w:rsid w:val="00674549"/>
    <w:rsid w:val="006823B5"/>
    <w:rsid w:val="0068755A"/>
    <w:rsid w:val="006D14B1"/>
    <w:rsid w:val="006D279D"/>
    <w:rsid w:val="006D4C86"/>
    <w:rsid w:val="007070BA"/>
    <w:rsid w:val="00707E6F"/>
    <w:rsid w:val="00713842"/>
    <w:rsid w:val="007264D5"/>
    <w:rsid w:val="00734127"/>
    <w:rsid w:val="007B5796"/>
    <w:rsid w:val="00864FFB"/>
    <w:rsid w:val="00894958"/>
    <w:rsid w:val="008B7BFB"/>
    <w:rsid w:val="008D0F7C"/>
    <w:rsid w:val="008E52AC"/>
    <w:rsid w:val="009256B5"/>
    <w:rsid w:val="00966D44"/>
    <w:rsid w:val="00980A53"/>
    <w:rsid w:val="009B5B34"/>
    <w:rsid w:val="009D5247"/>
    <w:rsid w:val="009F2AD9"/>
    <w:rsid w:val="00A35798"/>
    <w:rsid w:val="00A47167"/>
    <w:rsid w:val="00A61F50"/>
    <w:rsid w:val="00A67D14"/>
    <w:rsid w:val="00A94205"/>
    <w:rsid w:val="00A97ED3"/>
    <w:rsid w:val="00AC6739"/>
    <w:rsid w:val="00AE5D63"/>
    <w:rsid w:val="00AE7240"/>
    <w:rsid w:val="00B00B3E"/>
    <w:rsid w:val="00B033A4"/>
    <w:rsid w:val="00B33000"/>
    <w:rsid w:val="00B40B29"/>
    <w:rsid w:val="00B47CDD"/>
    <w:rsid w:val="00B53824"/>
    <w:rsid w:val="00B8753D"/>
    <w:rsid w:val="00BB56AE"/>
    <w:rsid w:val="00BC4725"/>
    <w:rsid w:val="00BC7893"/>
    <w:rsid w:val="00BD42E6"/>
    <w:rsid w:val="00BF201E"/>
    <w:rsid w:val="00CC0DB1"/>
    <w:rsid w:val="00CD65A7"/>
    <w:rsid w:val="00D46FB3"/>
    <w:rsid w:val="00D65708"/>
    <w:rsid w:val="00D71A51"/>
    <w:rsid w:val="00D96818"/>
    <w:rsid w:val="00DB0776"/>
    <w:rsid w:val="00DB0FB6"/>
    <w:rsid w:val="00DC6780"/>
    <w:rsid w:val="00DD3624"/>
    <w:rsid w:val="00DD4A9E"/>
    <w:rsid w:val="00E03381"/>
    <w:rsid w:val="00E10219"/>
    <w:rsid w:val="00E130ED"/>
    <w:rsid w:val="00E147F2"/>
    <w:rsid w:val="00E464FE"/>
    <w:rsid w:val="00EC45C3"/>
    <w:rsid w:val="00EC59FC"/>
    <w:rsid w:val="00EF1DB6"/>
    <w:rsid w:val="00F026E6"/>
    <w:rsid w:val="00F20EEB"/>
    <w:rsid w:val="00F41BE0"/>
    <w:rsid w:val="00F67EC0"/>
    <w:rsid w:val="00F71D15"/>
    <w:rsid w:val="00FB4845"/>
    <w:rsid w:val="00FB6D1F"/>
    <w:rsid w:val="00FD7B27"/>
    <w:rsid w:val="00FE6938"/>
    <w:rsid w:val="00FE7ADB"/>
    <w:rsid w:val="12AB34C3"/>
    <w:rsid w:val="17E32D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id-ID" w:eastAsia="en-US" w:bidi="ar-SA"/>
    </w:rPr>
  </w:style>
  <w:style w:type="paragraph" w:styleId="2">
    <w:name w:val="heading 1"/>
    <w:basedOn w:val="1"/>
    <w:next w:val="1"/>
    <w:link w:val="22"/>
    <w:qFormat/>
    <w:uiPriority w:val="0"/>
    <w:pPr>
      <w:keepNext/>
      <w:spacing w:after="0" w:line="240" w:lineRule="auto"/>
      <w:outlineLvl w:val="0"/>
    </w:pPr>
    <w:rPr>
      <w:rFonts w:ascii="Times New Roman" w:hAnsi="Times New Roman" w:eastAsia="Times New Roman"/>
      <w:b/>
      <w:i/>
      <w:sz w:val="40"/>
      <w:szCs w:val="20"/>
      <w:lang w:val="en-US"/>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5"/>
    <w:semiHidden/>
    <w:unhideWhenUsed/>
    <w:qFormat/>
    <w:uiPriority w:val="99"/>
    <w:pPr>
      <w:spacing w:after="0" w:line="240" w:lineRule="auto"/>
    </w:pPr>
    <w:rPr>
      <w:rFonts w:ascii="Tahoma" w:hAnsi="Tahoma"/>
      <w:sz w:val="16"/>
      <w:szCs w:val="16"/>
    </w:rPr>
  </w:style>
  <w:style w:type="character" w:styleId="6">
    <w:name w:val="Emphasis"/>
    <w:qFormat/>
    <w:uiPriority w:val="20"/>
    <w:rPr>
      <w:i/>
      <w:iCs/>
    </w:rPr>
  </w:style>
  <w:style w:type="paragraph" w:styleId="7">
    <w:name w:val="footer"/>
    <w:basedOn w:val="1"/>
    <w:link w:val="17"/>
    <w:unhideWhenUsed/>
    <w:uiPriority w:val="99"/>
    <w:pPr>
      <w:tabs>
        <w:tab w:val="center" w:pos="4680"/>
        <w:tab w:val="right" w:pos="9360"/>
      </w:tabs>
      <w:spacing w:after="0" w:line="240" w:lineRule="auto"/>
    </w:pPr>
    <w:rPr>
      <w:sz w:val="20"/>
      <w:szCs w:val="20"/>
      <w:lang w:val="en-US"/>
    </w:rPr>
  </w:style>
  <w:style w:type="paragraph" w:styleId="8">
    <w:name w:val="header"/>
    <w:basedOn w:val="1"/>
    <w:link w:val="16"/>
    <w:unhideWhenUsed/>
    <w:qFormat/>
    <w:uiPriority w:val="99"/>
    <w:pPr>
      <w:tabs>
        <w:tab w:val="center" w:pos="4680"/>
        <w:tab w:val="right" w:pos="9360"/>
      </w:tabs>
      <w:spacing w:after="0" w:line="240" w:lineRule="auto"/>
    </w:pPr>
    <w:rPr>
      <w:sz w:val="20"/>
      <w:szCs w:val="20"/>
      <w:lang w:val="en-US"/>
    </w:rPr>
  </w:style>
  <w:style w:type="paragraph" w:styleId="9">
    <w:name w:val="HTML Preformatted"/>
    <w:basedOn w:val="1"/>
    <w:link w:val="19"/>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sz w:val="20"/>
      <w:szCs w:val="20"/>
      <w:lang w:val="en-US"/>
    </w:rPr>
  </w:style>
  <w:style w:type="character" w:styleId="10">
    <w:name w:val="Hyperlink"/>
    <w:unhideWhenUsed/>
    <w:qFormat/>
    <w:uiPriority w:val="99"/>
    <w:rPr>
      <w:color w:val="0000FF"/>
      <w:u w:val="single"/>
    </w:rPr>
  </w:style>
  <w:style w:type="paragraph" w:styleId="11">
    <w:name w:val="Normal (Web)"/>
    <w:basedOn w:val="1"/>
    <w:unhideWhenUsed/>
    <w:uiPriority w:val="99"/>
    <w:pPr>
      <w:spacing w:before="100" w:beforeAutospacing="1" w:after="100" w:afterAutospacing="1" w:line="240" w:lineRule="auto"/>
    </w:pPr>
    <w:rPr>
      <w:rFonts w:ascii="Times New Roman" w:hAnsi="Times New Roman" w:eastAsia="Times New Roman"/>
      <w:sz w:val="24"/>
      <w:szCs w:val="24"/>
      <w:lang w:val="en-US"/>
    </w:rPr>
  </w:style>
  <w:style w:type="table" w:styleId="12">
    <w:name w:val="Table Grid"/>
    <w:basedOn w:val="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3">
    <w:name w:val="Title"/>
    <w:basedOn w:val="1"/>
    <w:link w:val="18"/>
    <w:qFormat/>
    <w:uiPriority w:val="0"/>
    <w:pPr>
      <w:spacing w:after="0" w:line="360" w:lineRule="auto"/>
      <w:jc w:val="center"/>
    </w:pPr>
    <w:rPr>
      <w:rFonts w:ascii="Times New Roman" w:hAnsi="Times New Roman" w:eastAsia="Times New Roman"/>
      <w:b/>
      <w:sz w:val="28"/>
      <w:szCs w:val="20"/>
      <w:lang w:val="en-US"/>
    </w:rPr>
  </w:style>
  <w:style w:type="paragraph" w:styleId="14">
    <w:name w:val="List Paragraph"/>
    <w:basedOn w:val="1"/>
    <w:qFormat/>
    <w:uiPriority w:val="34"/>
    <w:pPr>
      <w:ind w:left="720"/>
      <w:contextualSpacing/>
    </w:pPr>
    <w:rPr>
      <w:lang w:val="en-US"/>
    </w:rPr>
  </w:style>
  <w:style w:type="character" w:customStyle="1" w:styleId="15">
    <w:name w:val="Teks Balon KAR"/>
    <w:link w:val="5"/>
    <w:semiHidden/>
    <w:qFormat/>
    <w:uiPriority w:val="99"/>
    <w:rPr>
      <w:rFonts w:ascii="Tahoma" w:hAnsi="Tahoma" w:cs="Tahoma"/>
      <w:sz w:val="16"/>
      <w:szCs w:val="16"/>
    </w:rPr>
  </w:style>
  <w:style w:type="character" w:customStyle="1" w:styleId="16">
    <w:name w:val="Header KAR"/>
    <w:link w:val="8"/>
    <w:uiPriority w:val="99"/>
    <w:rPr>
      <w:lang w:val="en-US"/>
    </w:rPr>
  </w:style>
  <w:style w:type="character" w:customStyle="1" w:styleId="17">
    <w:name w:val="Footer KAR"/>
    <w:link w:val="7"/>
    <w:qFormat/>
    <w:uiPriority w:val="99"/>
    <w:rPr>
      <w:lang w:val="en-US"/>
    </w:rPr>
  </w:style>
  <w:style w:type="character" w:customStyle="1" w:styleId="18">
    <w:name w:val="Judul KAR"/>
    <w:link w:val="13"/>
    <w:qFormat/>
    <w:uiPriority w:val="0"/>
    <w:rPr>
      <w:rFonts w:ascii="Times New Roman" w:hAnsi="Times New Roman" w:eastAsia="Times New Roman" w:cs="Times New Roman"/>
      <w:b/>
      <w:sz w:val="28"/>
      <w:szCs w:val="20"/>
      <w:lang w:val="en-US"/>
    </w:rPr>
  </w:style>
  <w:style w:type="character" w:customStyle="1" w:styleId="19">
    <w:name w:val="HTML Sudah Diformat KAR"/>
    <w:link w:val="9"/>
    <w:semiHidden/>
    <w:qFormat/>
    <w:uiPriority w:val="99"/>
    <w:rPr>
      <w:rFonts w:ascii="Courier New" w:hAnsi="Courier New" w:eastAsia="Times New Roman" w:cs="Courier New"/>
      <w:sz w:val="20"/>
      <w:szCs w:val="20"/>
      <w:lang w:val="en-US"/>
    </w:rPr>
  </w:style>
  <w:style w:type="character" w:customStyle="1" w:styleId="20">
    <w:name w:val="apple-converted-space"/>
    <w:basedOn w:val="3"/>
    <w:qFormat/>
    <w:uiPriority w:val="0"/>
  </w:style>
  <w:style w:type="paragraph" w:customStyle="1" w:styleId="21">
    <w:name w:val="Page Number1"/>
    <w:basedOn w:val="1"/>
    <w:qFormat/>
    <w:uiPriority w:val="0"/>
    <w:pPr>
      <w:suppressAutoHyphens/>
      <w:spacing w:after="0" w:line="240" w:lineRule="auto"/>
      <w:jc w:val="center"/>
    </w:pPr>
    <w:rPr>
      <w:rFonts w:ascii="Times" w:hAnsi="Times" w:eastAsia="Times New Roman"/>
      <w:sz w:val="24"/>
      <w:szCs w:val="20"/>
      <w:lang w:val="en-US" w:eastAsia="ar-SA"/>
    </w:rPr>
  </w:style>
  <w:style w:type="character" w:customStyle="1" w:styleId="22">
    <w:name w:val="Judul 1 KAR"/>
    <w:basedOn w:val="3"/>
    <w:link w:val="2"/>
    <w:uiPriority w:val="0"/>
    <w:rPr>
      <w:rFonts w:ascii="Times New Roman" w:hAnsi="Times New Roman" w:eastAsia="Times New Roman"/>
      <w:b/>
      <w:i/>
      <w:sz w:val="40"/>
    </w:rPr>
  </w:style>
  <w:style w:type="character" w:customStyle="1" w:styleId="23">
    <w:name w:val="tlid-translation"/>
    <w:basedOn w:val="3"/>
    <w:qFormat/>
    <w:uiPriority w:val="0"/>
  </w:style>
  <w:style w:type="character" w:customStyle="1" w:styleId="24">
    <w:name w:val="markedcontent"/>
    <w:basedOn w:val="3"/>
    <w:uiPriority w:val="0"/>
  </w:style>
  <w:style w:type="paragraph" w:customStyle="1" w:styleId="25">
    <w:name w:val="Default"/>
    <w:qFormat/>
    <w:uiPriority w:val="0"/>
    <w:pPr>
      <w:autoSpaceDE w:val="0"/>
      <w:autoSpaceDN w:val="0"/>
      <w:adjustRightInd w:val="0"/>
    </w:pPr>
    <w:rPr>
      <w:rFonts w:ascii="Times New Roman" w:hAnsi="Times New Roman" w:cs="Times New Roman" w:eastAsiaTheme="minorHAnsi"/>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ITP%20-%20NIA\SEMESTER%20II\SKRIPSI\KOMPRE\DATA%20HITUNG(AutoRecovered).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ITP%20-%20NIA\SEMESTER%20II\SKRIPSI\KOMPRE\DATA%20HITUNG(AutoRecover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600" b="1" i="0" u="none" strike="noStrike" kern="1200" spc="0" baseline="0">
                <a:solidFill>
                  <a:schemeClr val="tx1">
                    <a:lumMod val="65000"/>
                    <a:lumOff val="35000"/>
                  </a:schemeClr>
                </a:solidFill>
                <a:latin typeface="+mn-lt"/>
                <a:ea typeface="+mn-ea"/>
                <a:cs typeface="+mn-cs"/>
              </a:defRPr>
            </a:pPr>
            <a:r>
              <a:rPr lang="en-US"/>
              <a:t>Nilai Tahanan Pentanahan 1 Elektroda Batang</a:t>
            </a:r>
            <a:endParaRPr lang="en-US"/>
          </a:p>
        </c:rich>
      </c:tx>
      <c:layout/>
      <c:overlay val="0"/>
      <c:spPr>
        <a:noFill/>
        <a:ln>
          <a:noFill/>
        </a:ln>
        <a:effectLst/>
      </c:spPr>
    </c:title>
    <c:autoTitleDeleted val="0"/>
    <c:plotArea>
      <c:layout/>
      <c:barChart>
        <c:barDir val="col"/>
        <c:grouping val="clustered"/>
        <c:varyColors val="0"/>
        <c:ser>
          <c:idx val="0"/>
          <c:order val="0"/>
          <c:tx>
            <c:strRef>
              <c:f>Sheet3!$J$2:$J$3</c:f>
              <c:strCache>
                <c:ptCount val="1"/>
                <c:pt idx="0">
                  <c:v>Nilai Tahanan Pentanahan Elektroda Paralel Pengukuran (Earth Tester)</c:v>
                </c:pt>
              </c:strCache>
            </c:strRef>
          </c:tx>
          <c:spPr>
            <a:solidFill>
              <a:schemeClr val="accent1"/>
            </a:solidFill>
            <a:ln>
              <a:noFill/>
            </a:ln>
            <a:effectLst/>
          </c:spPr>
          <c:invertIfNegative val="0"/>
          <c:dLbls>
            <c:delete val="1"/>
          </c:dLbls>
          <c:cat>
            <c:strRef>
              <c:f>Sheet3!$I$4:$I$14</c:f>
              <c:strCache>
                <c:ptCount val="11"/>
                <c:pt idx="0">
                  <c:v>TWR 13 SS</c:v>
                </c:pt>
                <c:pt idx="1">
                  <c:v>TWR 18 SS</c:v>
                </c:pt>
                <c:pt idx="2">
                  <c:v>TWR 22 SS</c:v>
                </c:pt>
                <c:pt idx="3">
                  <c:v>TWR 34 SS</c:v>
                </c:pt>
                <c:pt idx="4">
                  <c:v>TWR 36 SS</c:v>
                </c:pt>
                <c:pt idx="5">
                  <c:v>TWR 42 SS</c:v>
                </c:pt>
                <c:pt idx="6">
                  <c:v>TWR 45 SS</c:v>
                </c:pt>
                <c:pt idx="7">
                  <c:v>TWR 66 SS</c:v>
                </c:pt>
                <c:pt idx="8">
                  <c:v>TWR 67 SS</c:v>
                </c:pt>
                <c:pt idx="9">
                  <c:v>TWR 176 DS</c:v>
                </c:pt>
                <c:pt idx="10">
                  <c:v>TWR 189 SS</c:v>
                </c:pt>
              </c:strCache>
            </c:strRef>
          </c:cat>
          <c:val>
            <c:numRef>
              <c:f>Sheet3!$J$4:$J$14</c:f>
              <c:numCache>
                <c:formatCode>#,##0</c:formatCode>
                <c:ptCount val="11"/>
                <c:pt idx="0">
                  <c:v>23100</c:v>
                </c:pt>
                <c:pt idx="1">
                  <c:v>16380</c:v>
                </c:pt>
                <c:pt idx="2">
                  <c:v>70300</c:v>
                </c:pt>
                <c:pt idx="3">
                  <c:v>24400</c:v>
                </c:pt>
                <c:pt idx="4">
                  <c:v>87700</c:v>
                </c:pt>
                <c:pt idx="5">
                  <c:v>120800</c:v>
                </c:pt>
                <c:pt idx="6">
                  <c:v>12910</c:v>
                </c:pt>
                <c:pt idx="7">
                  <c:v>30200</c:v>
                </c:pt>
                <c:pt idx="8">
                  <c:v>87500</c:v>
                </c:pt>
                <c:pt idx="9">
                  <c:v>73500</c:v>
                </c:pt>
                <c:pt idx="10">
                  <c:v>41200</c:v>
                </c:pt>
              </c:numCache>
            </c:numRef>
          </c:val>
        </c:ser>
        <c:ser>
          <c:idx val="1"/>
          <c:order val="1"/>
          <c:tx>
            <c:strRef>
              <c:f>Sheet3!$K$2:$K$3</c:f>
              <c:strCache>
                <c:ptCount val="1"/>
                <c:pt idx="0">
                  <c:v>Nilai Tahanan Pentanahan Elektroda Paralel Perhitungan (Rumus)</c:v>
                </c:pt>
              </c:strCache>
            </c:strRef>
          </c:tx>
          <c:spPr>
            <a:solidFill>
              <a:schemeClr val="accent2"/>
            </a:solidFill>
            <a:ln>
              <a:noFill/>
            </a:ln>
            <a:effectLst/>
          </c:spPr>
          <c:invertIfNegative val="0"/>
          <c:dLbls>
            <c:delete val="1"/>
          </c:dLbls>
          <c:cat>
            <c:strRef>
              <c:f>Sheet3!$I$4:$I$14</c:f>
              <c:strCache>
                <c:ptCount val="11"/>
                <c:pt idx="0">
                  <c:v>TWR 13 SS</c:v>
                </c:pt>
                <c:pt idx="1">
                  <c:v>TWR 18 SS</c:v>
                </c:pt>
                <c:pt idx="2">
                  <c:v>TWR 22 SS</c:v>
                </c:pt>
                <c:pt idx="3">
                  <c:v>TWR 34 SS</c:v>
                </c:pt>
                <c:pt idx="4">
                  <c:v>TWR 36 SS</c:v>
                </c:pt>
                <c:pt idx="5">
                  <c:v>TWR 42 SS</c:v>
                </c:pt>
                <c:pt idx="6">
                  <c:v>TWR 45 SS</c:v>
                </c:pt>
                <c:pt idx="7">
                  <c:v>TWR 66 SS</c:v>
                </c:pt>
                <c:pt idx="8">
                  <c:v>TWR 67 SS</c:v>
                </c:pt>
                <c:pt idx="9">
                  <c:v>TWR 176 DS</c:v>
                </c:pt>
                <c:pt idx="10">
                  <c:v>TWR 189 SS</c:v>
                </c:pt>
              </c:strCache>
            </c:strRef>
          </c:cat>
          <c:val>
            <c:numRef>
              <c:f>Sheet3!$K$4:$K$14</c:f>
              <c:numCache>
                <c:formatCode>#,##0</c:formatCode>
                <c:ptCount val="11"/>
                <c:pt idx="0">
                  <c:v>6971</c:v>
                </c:pt>
                <c:pt idx="1">
                  <c:v>6971</c:v>
                </c:pt>
                <c:pt idx="2">
                  <c:v>46469</c:v>
                </c:pt>
                <c:pt idx="3">
                  <c:v>6971</c:v>
                </c:pt>
                <c:pt idx="4">
                  <c:v>6971</c:v>
                </c:pt>
                <c:pt idx="5">
                  <c:v>232348</c:v>
                </c:pt>
                <c:pt idx="6">
                  <c:v>8047</c:v>
                </c:pt>
                <c:pt idx="7">
                  <c:v>23234</c:v>
                </c:pt>
                <c:pt idx="8">
                  <c:v>6971</c:v>
                </c:pt>
                <c:pt idx="9">
                  <c:v>23234</c:v>
                </c:pt>
                <c:pt idx="10">
                  <c:v>23234</c:v>
                </c:pt>
              </c:numCache>
            </c:numRef>
          </c:val>
        </c:ser>
        <c:ser>
          <c:idx val="2"/>
          <c:order val="2"/>
          <c:tx>
            <c:strRef>
              <c:f>Sheet3!$L$2:$L$3</c:f>
              <c:strCache>
                <c:ptCount val="1"/>
                <c:pt idx="0">
                  <c:v>Nilai Tahanan Pentanahan Elektroda Paralel Simulasi Matlab</c:v>
                </c:pt>
              </c:strCache>
            </c:strRef>
          </c:tx>
          <c:spPr>
            <a:solidFill>
              <a:schemeClr val="accent3"/>
            </a:solidFill>
            <a:ln>
              <a:noFill/>
            </a:ln>
            <a:effectLst/>
          </c:spPr>
          <c:invertIfNegative val="0"/>
          <c:dLbls>
            <c:delete val="1"/>
          </c:dLbls>
          <c:cat>
            <c:strRef>
              <c:f>Sheet3!$I$4:$I$14</c:f>
              <c:strCache>
                <c:ptCount val="11"/>
                <c:pt idx="0">
                  <c:v>TWR 13 SS</c:v>
                </c:pt>
                <c:pt idx="1">
                  <c:v>TWR 18 SS</c:v>
                </c:pt>
                <c:pt idx="2">
                  <c:v>TWR 22 SS</c:v>
                </c:pt>
                <c:pt idx="3">
                  <c:v>TWR 34 SS</c:v>
                </c:pt>
                <c:pt idx="4">
                  <c:v>TWR 36 SS</c:v>
                </c:pt>
                <c:pt idx="5">
                  <c:v>TWR 42 SS</c:v>
                </c:pt>
                <c:pt idx="6">
                  <c:v>TWR 45 SS</c:v>
                </c:pt>
                <c:pt idx="7">
                  <c:v>TWR 66 SS</c:v>
                </c:pt>
                <c:pt idx="8">
                  <c:v>TWR 67 SS</c:v>
                </c:pt>
                <c:pt idx="9">
                  <c:v>TWR 176 DS</c:v>
                </c:pt>
                <c:pt idx="10">
                  <c:v>TWR 189 SS</c:v>
                </c:pt>
              </c:strCache>
            </c:strRef>
          </c:cat>
          <c:val>
            <c:numRef>
              <c:f>Sheet3!$L$4:$L$14</c:f>
              <c:numCache>
                <c:formatCode>#,##0</c:formatCode>
                <c:ptCount val="11"/>
                <c:pt idx="0">
                  <c:v>6966</c:v>
                </c:pt>
                <c:pt idx="1">
                  <c:v>6966</c:v>
                </c:pt>
                <c:pt idx="2">
                  <c:v>46446</c:v>
                </c:pt>
                <c:pt idx="3">
                  <c:v>6966</c:v>
                </c:pt>
                <c:pt idx="4">
                  <c:v>6966</c:v>
                </c:pt>
                <c:pt idx="5">
                  <c:v>232230</c:v>
                </c:pt>
                <c:pt idx="6">
                  <c:v>6966</c:v>
                </c:pt>
                <c:pt idx="7">
                  <c:v>23223</c:v>
                </c:pt>
                <c:pt idx="8">
                  <c:v>6966</c:v>
                </c:pt>
                <c:pt idx="9">
                  <c:v>23223</c:v>
                </c:pt>
                <c:pt idx="10">
                  <c:v>23223</c:v>
                </c:pt>
              </c:numCache>
            </c:numRef>
          </c:val>
        </c:ser>
        <c:dLbls>
          <c:showLegendKey val="0"/>
          <c:showVal val="0"/>
          <c:showCatName val="0"/>
          <c:showSerName val="0"/>
          <c:showPercent val="0"/>
          <c:showBubbleSize val="0"/>
        </c:dLbls>
        <c:gapWidth val="219"/>
        <c:overlap val="-27"/>
        <c:axId val="389090736"/>
        <c:axId val="389091568"/>
      </c:barChart>
      <c:catAx>
        <c:axId val="389090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500" b="1" i="0" u="none" strike="noStrike" kern="1200" baseline="0">
                <a:solidFill>
                  <a:schemeClr val="tx1">
                    <a:lumMod val="65000"/>
                    <a:lumOff val="35000"/>
                  </a:schemeClr>
                </a:solidFill>
                <a:latin typeface="+mn-lt"/>
                <a:ea typeface="+mn-ea"/>
                <a:cs typeface="+mn-cs"/>
              </a:defRPr>
            </a:pPr>
          </a:p>
        </c:txPr>
        <c:crossAx val="389091568"/>
        <c:crosses val="autoZero"/>
        <c:auto val="1"/>
        <c:lblAlgn val="ctr"/>
        <c:lblOffset val="100"/>
        <c:noMultiLvlLbl val="0"/>
      </c:catAx>
      <c:valAx>
        <c:axId val="3890915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500" b="1" i="0" u="none" strike="noStrike" kern="1200" baseline="0">
                <a:solidFill>
                  <a:schemeClr val="tx1">
                    <a:lumMod val="65000"/>
                    <a:lumOff val="35000"/>
                  </a:schemeClr>
                </a:solidFill>
                <a:latin typeface="+mn-lt"/>
                <a:ea typeface="+mn-ea"/>
                <a:cs typeface="+mn-cs"/>
              </a:defRPr>
            </a:pPr>
          </a:p>
        </c:txPr>
        <c:crossAx val="3890907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5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500" b="1"/>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600" b="1" i="0" u="none" strike="noStrike" kern="1200" spc="0" baseline="0">
                <a:solidFill>
                  <a:schemeClr val="tx1">
                    <a:lumMod val="65000"/>
                    <a:lumOff val="35000"/>
                  </a:schemeClr>
                </a:solidFill>
                <a:latin typeface="+mn-lt"/>
                <a:ea typeface="+mn-ea"/>
                <a:cs typeface="+mn-cs"/>
              </a:defRPr>
            </a:pPr>
            <a:r>
              <a:rPr lang="en-US"/>
              <a:t>Nilai Tahanan Pentanahan dengan Elektroda dipasang Paralel</a:t>
            </a:r>
            <a:endParaRPr lang="en-US"/>
          </a:p>
        </c:rich>
      </c:tx>
      <c:layout/>
      <c:overlay val="0"/>
      <c:spPr>
        <a:noFill/>
        <a:ln>
          <a:noFill/>
        </a:ln>
        <a:effectLst/>
      </c:spPr>
    </c:title>
    <c:autoTitleDeleted val="0"/>
    <c:plotArea>
      <c:layout/>
      <c:barChart>
        <c:barDir val="col"/>
        <c:grouping val="clustered"/>
        <c:varyColors val="0"/>
        <c:ser>
          <c:idx val="0"/>
          <c:order val="0"/>
          <c:tx>
            <c:strRef>
              <c:f>Sheet3!$C$2:$C$3</c:f>
              <c:strCache>
                <c:ptCount val="1"/>
                <c:pt idx="0">
                  <c:v>Nilai Tahanan Pentanahan Elektroda Paralel Pengukuran (Earth Tester)</c:v>
                </c:pt>
              </c:strCache>
            </c:strRef>
          </c:tx>
          <c:spPr>
            <a:solidFill>
              <a:schemeClr val="accent1"/>
            </a:solidFill>
            <a:ln>
              <a:noFill/>
            </a:ln>
            <a:effectLst/>
          </c:spPr>
          <c:invertIfNegative val="0"/>
          <c:dLbls>
            <c:delete val="1"/>
          </c:dLbls>
          <c:cat>
            <c:strRef>
              <c:f>Sheet3!$B$4:$B$14</c:f>
              <c:strCache>
                <c:ptCount val="11"/>
                <c:pt idx="0">
                  <c:v>TWR 13 SS</c:v>
                </c:pt>
                <c:pt idx="1">
                  <c:v>TWR 18 SS</c:v>
                </c:pt>
                <c:pt idx="2">
                  <c:v>TWR 22 SS</c:v>
                </c:pt>
                <c:pt idx="3">
                  <c:v>TWR 34 SS</c:v>
                </c:pt>
                <c:pt idx="4">
                  <c:v>TWR 36 SS</c:v>
                </c:pt>
                <c:pt idx="5">
                  <c:v>TWR 42 SS</c:v>
                </c:pt>
                <c:pt idx="6">
                  <c:v>TWR 45 SS</c:v>
                </c:pt>
                <c:pt idx="7">
                  <c:v>TWR 66 SS</c:v>
                </c:pt>
                <c:pt idx="8">
                  <c:v>TWR 67 SS</c:v>
                </c:pt>
                <c:pt idx="9">
                  <c:v>TWR 176 DS</c:v>
                </c:pt>
                <c:pt idx="10">
                  <c:v>TWR 189 SS</c:v>
                </c:pt>
              </c:strCache>
            </c:strRef>
          </c:cat>
          <c:val>
            <c:numRef>
              <c:f>Sheet3!$C$4:$C$14</c:f>
              <c:numCache>
                <c:formatCode>General</c:formatCode>
                <c:ptCount val="11"/>
                <c:pt idx="0">
                  <c:v>0</c:v>
                </c:pt>
                <c:pt idx="1" c:formatCode="#,##0">
                  <c:v>8120</c:v>
                </c:pt>
                <c:pt idx="2" c:formatCode="#,##0">
                  <c:v>7690</c:v>
                </c:pt>
                <c:pt idx="3" c:formatCode="#,##0">
                  <c:v>2130</c:v>
                </c:pt>
                <c:pt idx="4" c:formatCode="#,##0">
                  <c:v>5670</c:v>
                </c:pt>
                <c:pt idx="5" c:formatCode="#,##0">
                  <c:v>3130</c:v>
                </c:pt>
                <c:pt idx="6" c:formatCode="#,##0">
                  <c:v>4800</c:v>
                </c:pt>
                <c:pt idx="7" c:formatCode="#,##0">
                  <c:v>2420</c:v>
                </c:pt>
                <c:pt idx="8" c:formatCode="#,##0">
                  <c:v>5880</c:v>
                </c:pt>
                <c:pt idx="9" c:formatCode="#,##0">
                  <c:v>5020</c:v>
                </c:pt>
                <c:pt idx="10" c:formatCode="#,##0">
                  <c:v>5790</c:v>
                </c:pt>
              </c:numCache>
            </c:numRef>
          </c:val>
        </c:ser>
        <c:ser>
          <c:idx val="1"/>
          <c:order val="1"/>
          <c:tx>
            <c:strRef>
              <c:f>Sheet3!$D$2:$D$3</c:f>
              <c:strCache>
                <c:ptCount val="1"/>
                <c:pt idx="0">
                  <c:v>Nilai Tahanan Pentanahan Elektroda Paralel Perhitungan (Rumus)</c:v>
                </c:pt>
              </c:strCache>
            </c:strRef>
          </c:tx>
          <c:spPr>
            <a:solidFill>
              <a:schemeClr val="accent2"/>
            </a:solidFill>
            <a:ln>
              <a:noFill/>
            </a:ln>
            <a:effectLst/>
          </c:spPr>
          <c:invertIfNegative val="0"/>
          <c:dLbls>
            <c:delete val="1"/>
          </c:dLbls>
          <c:cat>
            <c:strRef>
              <c:f>Sheet3!$B$4:$B$14</c:f>
              <c:strCache>
                <c:ptCount val="11"/>
                <c:pt idx="0">
                  <c:v>TWR 13 SS</c:v>
                </c:pt>
                <c:pt idx="1">
                  <c:v>TWR 18 SS</c:v>
                </c:pt>
                <c:pt idx="2">
                  <c:v>TWR 22 SS</c:v>
                </c:pt>
                <c:pt idx="3">
                  <c:v>TWR 34 SS</c:v>
                </c:pt>
                <c:pt idx="4">
                  <c:v>TWR 36 SS</c:v>
                </c:pt>
                <c:pt idx="5">
                  <c:v>TWR 42 SS</c:v>
                </c:pt>
                <c:pt idx="6">
                  <c:v>TWR 45 SS</c:v>
                </c:pt>
                <c:pt idx="7">
                  <c:v>TWR 66 SS</c:v>
                </c:pt>
                <c:pt idx="8">
                  <c:v>TWR 67 SS</c:v>
                </c:pt>
                <c:pt idx="9">
                  <c:v>TWR 176 DS</c:v>
                </c:pt>
                <c:pt idx="10">
                  <c:v>TWR 189 SS</c:v>
                </c:pt>
              </c:strCache>
            </c:strRef>
          </c:cat>
          <c:val>
            <c:numRef>
              <c:f>Sheet3!$D$4:$D$14</c:f>
              <c:numCache>
                <c:formatCode>#,##0</c:formatCode>
                <c:ptCount val="11"/>
                <c:pt idx="0">
                  <c:v>3942</c:v>
                </c:pt>
                <c:pt idx="1">
                  <c:v>3942</c:v>
                </c:pt>
                <c:pt idx="2">
                  <c:v>4931</c:v>
                </c:pt>
                <c:pt idx="3">
                  <c:v>3942</c:v>
                </c:pt>
                <c:pt idx="4">
                  <c:v>3942</c:v>
                </c:pt>
                <c:pt idx="5">
                  <c:v>4960</c:v>
                </c:pt>
                <c:pt idx="6">
                  <c:v>3942</c:v>
                </c:pt>
                <c:pt idx="7">
                  <c:v>4799</c:v>
                </c:pt>
                <c:pt idx="8">
                  <c:v>3942</c:v>
                </c:pt>
                <c:pt idx="9">
                  <c:v>4799</c:v>
                </c:pt>
                <c:pt idx="10">
                  <c:v>4799</c:v>
                </c:pt>
              </c:numCache>
            </c:numRef>
          </c:val>
        </c:ser>
        <c:ser>
          <c:idx val="2"/>
          <c:order val="2"/>
          <c:tx>
            <c:strRef>
              <c:f>Sheet3!$E$2:$E$3</c:f>
              <c:strCache>
                <c:ptCount val="1"/>
                <c:pt idx="0">
                  <c:v>Nilai Tahanan Pentanahan Elektroda Paralel Simulasi Matlab</c:v>
                </c:pt>
              </c:strCache>
            </c:strRef>
          </c:tx>
          <c:spPr>
            <a:solidFill>
              <a:schemeClr val="accent3"/>
            </a:solidFill>
            <a:ln>
              <a:noFill/>
            </a:ln>
            <a:effectLst/>
          </c:spPr>
          <c:invertIfNegative val="0"/>
          <c:dLbls>
            <c:delete val="1"/>
          </c:dLbls>
          <c:cat>
            <c:strRef>
              <c:f>Sheet3!$B$4:$B$14</c:f>
              <c:strCache>
                <c:ptCount val="11"/>
                <c:pt idx="0">
                  <c:v>TWR 13 SS</c:v>
                </c:pt>
                <c:pt idx="1">
                  <c:v>TWR 18 SS</c:v>
                </c:pt>
                <c:pt idx="2">
                  <c:v>TWR 22 SS</c:v>
                </c:pt>
                <c:pt idx="3">
                  <c:v>TWR 34 SS</c:v>
                </c:pt>
                <c:pt idx="4">
                  <c:v>TWR 36 SS</c:v>
                </c:pt>
                <c:pt idx="5">
                  <c:v>TWR 42 SS</c:v>
                </c:pt>
                <c:pt idx="6">
                  <c:v>TWR 45 SS</c:v>
                </c:pt>
                <c:pt idx="7">
                  <c:v>TWR 66 SS</c:v>
                </c:pt>
                <c:pt idx="8">
                  <c:v>TWR 67 SS</c:v>
                </c:pt>
                <c:pt idx="9">
                  <c:v>TWR 176 DS</c:v>
                </c:pt>
                <c:pt idx="10">
                  <c:v>TWR 189 SS</c:v>
                </c:pt>
              </c:strCache>
            </c:strRef>
          </c:cat>
          <c:val>
            <c:numRef>
              <c:f>Sheet3!$E$4:$E$14</c:f>
              <c:numCache>
                <c:formatCode>#,##0</c:formatCode>
                <c:ptCount val="11"/>
                <c:pt idx="0">
                  <c:v>3945</c:v>
                </c:pt>
                <c:pt idx="1">
                  <c:v>3945</c:v>
                </c:pt>
                <c:pt idx="2">
                  <c:v>4953</c:v>
                </c:pt>
                <c:pt idx="3">
                  <c:v>3945</c:v>
                </c:pt>
                <c:pt idx="4">
                  <c:v>3945</c:v>
                </c:pt>
                <c:pt idx="5">
                  <c:v>4979</c:v>
                </c:pt>
                <c:pt idx="6">
                  <c:v>3945</c:v>
                </c:pt>
                <c:pt idx="7">
                  <c:v>4762</c:v>
                </c:pt>
                <c:pt idx="8">
                  <c:v>3945</c:v>
                </c:pt>
                <c:pt idx="9">
                  <c:v>4762</c:v>
                </c:pt>
                <c:pt idx="10">
                  <c:v>4762</c:v>
                </c:pt>
              </c:numCache>
            </c:numRef>
          </c:val>
        </c:ser>
        <c:dLbls>
          <c:showLegendKey val="0"/>
          <c:showVal val="0"/>
          <c:showCatName val="0"/>
          <c:showSerName val="0"/>
          <c:showPercent val="0"/>
          <c:showBubbleSize val="0"/>
        </c:dLbls>
        <c:gapWidth val="219"/>
        <c:overlap val="-27"/>
        <c:axId val="307688608"/>
        <c:axId val="307689440"/>
      </c:barChart>
      <c:catAx>
        <c:axId val="307688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500" b="1" i="0" u="none" strike="noStrike" kern="1200" baseline="0">
                <a:solidFill>
                  <a:schemeClr val="tx1">
                    <a:lumMod val="65000"/>
                    <a:lumOff val="35000"/>
                  </a:schemeClr>
                </a:solidFill>
                <a:latin typeface="+mn-lt"/>
                <a:ea typeface="+mn-ea"/>
                <a:cs typeface="+mn-cs"/>
              </a:defRPr>
            </a:pPr>
          </a:p>
        </c:txPr>
        <c:crossAx val="307689440"/>
        <c:crosses val="autoZero"/>
        <c:auto val="1"/>
        <c:lblAlgn val="ctr"/>
        <c:lblOffset val="100"/>
        <c:noMultiLvlLbl val="0"/>
      </c:catAx>
      <c:valAx>
        <c:axId val="307689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500" b="1" i="0" u="none" strike="noStrike" kern="1200" baseline="0">
                <a:solidFill>
                  <a:schemeClr val="tx1">
                    <a:lumMod val="65000"/>
                    <a:lumOff val="35000"/>
                  </a:schemeClr>
                </a:solidFill>
                <a:latin typeface="+mn-lt"/>
                <a:ea typeface="+mn-ea"/>
                <a:cs typeface="+mn-cs"/>
              </a:defRPr>
            </a:pPr>
          </a:p>
        </c:txPr>
        <c:crossAx val="3076886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5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500" b="1"/>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2696</Words>
  <Characters>15368</Characters>
  <Lines>128</Lines>
  <Paragraphs>36</Paragraphs>
  <TotalTime>15</TotalTime>
  <ScaleCrop>false</ScaleCrop>
  <LinksUpToDate>false</LinksUpToDate>
  <CharactersWithSpaces>18028</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2022-10-12T00:39:00Z</dcterms:created>
  <dc:creator>Windows  7</dc:creator>
  <cp:lastModifiedBy>Lenovo</cp:lastModifiedBy>
  <dcterms:modified xsi:type="dcterms:W3CDTF">2023-09-27T15:25:45Z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EBAD236F68D141EAAC5D6F4C674F6959_13</vt:lpwstr>
  </property>
</Properties>
</file>